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4A0DB7BB" w14:textId="77777777" w:rsidTr="00B25A19">
        <w:tc>
          <w:tcPr>
            <w:tcW w:w="10598" w:type="dxa"/>
          </w:tcPr>
          <w:p w14:paraId="4A0DB7BA" w14:textId="77777777" w:rsidR="00BD241A" w:rsidRPr="006D3E21" w:rsidRDefault="00BD241A" w:rsidP="006D3E21">
            <w:pPr>
              <w:pStyle w:val="BMSMainHeading"/>
            </w:pPr>
            <w:bookmarkStart w:id="0" w:name="_GoBack"/>
            <w:bookmarkEnd w:id="0"/>
            <w:r w:rsidRPr="006D3E21">
              <w:t>Scope</w:t>
            </w:r>
          </w:p>
        </w:tc>
      </w:tr>
      <w:tr w:rsidR="009A5868" w:rsidRPr="009A5868" w14:paraId="4A0DB7BD" w14:textId="77777777" w:rsidTr="00B25A19">
        <w:tc>
          <w:tcPr>
            <w:tcW w:w="10598" w:type="dxa"/>
          </w:tcPr>
          <w:p w14:paraId="4A0DB7BC" w14:textId="24DFA9F9" w:rsidR="00BD241A" w:rsidRPr="009A5868" w:rsidRDefault="00CA5D77" w:rsidP="006D3E21">
            <w:pPr>
              <w:pStyle w:val="BMSBodyText"/>
            </w:pPr>
            <w:r w:rsidRPr="00B21133">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B21133">
              <w:rPr>
                <w:color w:val="FF0000"/>
              </w:rPr>
              <w:t>MSC-PR-0002</w:t>
            </w:r>
            <w:r w:rsidRPr="00B21133">
              <w:t xml:space="preserve">) must be followed in relation to assessing the validity of </w:t>
            </w:r>
            <w:r w:rsidR="00DA46B3" w:rsidRPr="00B21133">
              <w:t>third-party</w:t>
            </w:r>
            <w:r w:rsidRPr="00B21133">
              <w:t xml:space="preserve"> management systems.</w:t>
            </w:r>
          </w:p>
        </w:tc>
      </w:tr>
    </w:tbl>
    <w:p w14:paraId="4A0DB7BE" w14:textId="77777777" w:rsidR="009A5868" w:rsidRPr="009A5868" w:rsidRDefault="009A5868"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4A0DB7C0" w14:textId="77777777" w:rsidTr="00B25A19">
        <w:tc>
          <w:tcPr>
            <w:tcW w:w="10598" w:type="dxa"/>
          </w:tcPr>
          <w:p w14:paraId="4A0DB7BF" w14:textId="77777777" w:rsidR="00BD241A" w:rsidRPr="009A5868" w:rsidRDefault="00BD241A" w:rsidP="006D3E21">
            <w:pPr>
              <w:pStyle w:val="BMSMainHeading"/>
            </w:pPr>
            <w:r w:rsidRPr="009A5868">
              <w:t>Purpose</w:t>
            </w:r>
          </w:p>
        </w:tc>
      </w:tr>
      <w:tr w:rsidR="009A5868" w:rsidRPr="009A5868" w14:paraId="4A0DB7C4" w14:textId="77777777" w:rsidTr="00B25A19">
        <w:tc>
          <w:tcPr>
            <w:tcW w:w="10598" w:type="dxa"/>
          </w:tcPr>
          <w:p w14:paraId="4A0DB7C1" w14:textId="77777777" w:rsidR="00510249" w:rsidRDefault="00510249" w:rsidP="00510249">
            <w:pPr>
              <w:pStyle w:val="BMSBodyText"/>
            </w:pPr>
            <w:r>
              <w:t>Hand</w:t>
            </w:r>
            <w:r w:rsidR="00D07D98">
              <w:t>-</w:t>
            </w:r>
            <w:r>
              <w:t>arm vibration (HAV) is a widespread hazard for employees. HAV exposure arises from the use of hand</w:t>
            </w:r>
            <w:r w:rsidR="00D07D98">
              <w:t>-</w:t>
            </w:r>
            <w:r>
              <w:t>held power tools and hand</w:t>
            </w:r>
            <w:r w:rsidR="00D07D98">
              <w:t>-</w:t>
            </w:r>
            <w:r>
              <w:t>guided machinery. Prolonged and regular exposure to this vibration can be detrimental to employees</w:t>
            </w:r>
            <w:r w:rsidR="0025201E">
              <w:t>’</w:t>
            </w:r>
            <w:r>
              <w:t xml:space="preserve"> health. </w:t>
            </w:r>
          </w:p>
          <w:p w14:paraId="4A0DB7C2" w14:textId="77777777" w:rsidR="00510249" w:rsidRDefault="00510249" w:rsidP="00510249">
            <w:pPr>
              <w:pStyle w:val="BMSBodyText"/>
            </w:pPr>
            <w:r>
              <w:t>To protect employees and to comply with the Control of Vibration at Work Regulations, this procedure details the steps that should be taken to eliminate or control exposure.  This procedure is based upon the principle of prevention where</w:t>
            </w:r>
            <w:r w:rsidR="00A2230D">
              <w:t>,</w:t>
            </w:r>
            <w:r>
              <w:t xml:space="preserve"> through careful planning, exposure to vibration should be eliminated in the first instance where reasonably practicable.</w:t>
            </w:r>
          </w:p>
          <w:p w14:paraId="4A0DB7C3" w14:textId="77777777" w:rsidR="00BD241A" w:rsidRPr="009A5868" w:rsidRDefault="00510249" w:rsidP="00510249">
            <w:pPr>
              <w:pStyle w:val="BMSBodyText"/>
            </w:pPr>
            <w:r>
              <w:t>Where elimination cannot be achieved this procedure requires that exposure is reduced to as low a level as is reasonably practicable.</w:t>
            </w:r>
          </w:p>
        </w:tc>
      </w:tr>
    </w:tbl>
    <w:p w14:paraId="4A0DB7C5" w14:textId="77777777" w:rsidR="009A5868" w:rsidRPr="009A5868" w:rsidRDefault="009A5868" w:rsidP="006D3E21">
      <w:pPr>
        <w:pStyle w:val="BMSBodyText"/>
      </w:pPr>
    </w:p>
    <w:p w14:paraId="4A0DB7C6" w14:textId="77777777" w:rsidR="00CF20B2" w:rsidRPr="009A5868" w:rsidRDefault="008A4897" w:rsidP="006D3E21">
      <w:pPr>
        <w:pStyle w:val="BMSMainHeading"/>
      </w:pPr>
      <w:r w:rsidRPr="009A5868">
        <w:t>Procedural Requirements</w:t>
      </w:r>
    </w:p>
    <w:tbl>
      <w:tblPr>
        <w:tblStyle w:val="TableGrid"/>
        <w:tblW w:w="10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1847"/>
        <w:gridCol w:w="2304"/>
        <w:gridCol w:w="5879"/>
      </w:tblGrid>
      <w:tr w:rsidR="003A1610" w:rsidRPr="009A5868" w14:paraId="4A0DB7C8" w14:textId="77777777" w:rsidTr="00C27184">
        <w:tc>
          <w:tcPr>
            <w:tcW w:w="10705" w:type="dxa"/>
            <w:gridSpan w:val="4"/>
          </w:tcPr>
          <w:p w14:paraId="4A0DB7C7" w14:textId="77777777" w:rsidR="003A1610" w:rsidRDefault="003A1610" w:rsidP="00D07D98">
            <w:pPr>
              <w:pStyle w:val="BMSBodyText"/>
              <w:rPr>
                <w:rFonts w:cstheme="minorHAnsi"/>
                <w:b/>
              </w:rPr>
            </w:pPr>
            <w:r>
              <w:rPr>
                <w:rFonts w:cstheme="minorHAnsi"/>
                <w:b/>
              </w:rPr>
              <w:t>Procurement of Hand</w:t>
            </w:r>
            <w:r w:rsidR="00D07D98">
              <w:rPr>
                <w:rFonts w:cstheme="minorHAnsi"/>
                <w:b/>
              </w:rPr>
              <w:t>-</w:t>
            </w:r>
            <w:r>
              <w:rPr>
                <w:rFonts w:cstheme="minorHAnsi"/>
                <w:b/>
              </w:rPr>
              <w:t>Arm Vibration Monitoring Equipment for use in accordance with this procedure must be carried out in accordance with the Hand</w:t>
            </w:r>
            <w:r w:rsidR="00D07D98">
              <w:rPr>
                <w:rFonts w:cstheme="minorHAnsi"/>
                <w:b/>
              </w:rPr>
              <w:t>-</w:t>
            </w:r>
            <w:r>
              <w:rPr>
                <w:rFonts w:cstheme="minorHAnsi"/>
                <w:b/>
              </w:rPr>
              <w:t xml:space="preserve">Arm Vibration Monitoring Equipment Procedure </w:t>
            </w:r>
            <w:r w:rsidR="00657753" w:rsidRPr="00657753">
              <w:rPr>
                <w:rFonts w:cstheme="minorHAnsi"/>
                <w:b/>
              </w:rPr>
              <w:t>(</w:t>
            </w:r>
            <w:hyperlink r:id="rId12" w:history="1">
              <w:r w:rsidR="00657753" w:rsidRPr="00657753">
                <w:rPr>
                  <w:rStyle w:val="Hyperlink"/>
                  <w:rFonts w:cstheme="minorHAnsi"/>
                  <w:b/>
                </w:rPr>
                <w:t>OPS-PR-244</w:t>
              </w:r>
            </w:hyperlink>
            <w:r w:rsidRPr="00657753">
              <w:rPr>
                <w:rFonts w:cstheme="minorHAnsi"/>
                <w:b/>
              </w:rPr>
              <w:t>).</w:t>
            </w:r>
          </w:p>
        </w:tc>
      </w:tr>
      <w:tr w:rsidR="00963DEF" w:rsidRPr="009A5868" w14:paraId="4A0DB7CB" w14:textId="77777777" w:rsidTr="00C27184">
        <w:tc>
          <w:tcPr>
            <w:tcW w:w="675" w:type="dxa"/>
          </w:tcPr>
          <w:p w14:paraId="4A0DB7C9" w14:textId="77777777" w:rsidR="00963DEF" w:rsidRPr="006D3E21" w:rsidRDefault="00963DEF" w:rsidP="005A33B4">
            <w:pPr>
              <w:pStyle w:val="BMSBodyText"/>
              <w:numPr>
                <w:ilvl w:val="0"/>
                <w:numId w:val="9"/>
              </w:numPr>
              <w:rPr>
                <w:b/>
              </w:rPr>
            </w:pPr>
          </w:p>
        </w:tc>
        <w:tc>
          <w:tcPr>
            <w:tcW w:w="10030" w:type="dxa"/>
            <w:gridSpan w:val="3"/>
          </w:tcPr>
          <w:p w14:paraId="4A0DB7CA" w14:textId="77777777" w:rsidR="00963DEF" w:rsidRPr="009A5868" w:rsidRDefault="000D2F6B" w:rsidP="000D2F6B">
            <w:pPr>
              <w:pStyle w:val="BMSBodyText"/>
            </w:pPr>
            <w:r>
              <w:rPr>
                <w:rFonts w:cstheme="minorHAnsi"/>
                <w:b/>
              </w:rPr>
              <w:t>EXPOSURE ACTION VALUES AND LIMIT VALUES</w:t>
            </w:r>
          </w:p>
        </w:tc>
      </w:tr>
      <w:tr w:rsidR="00963DEF" w:rsidRPr="009A5868" w14:paraId="4A0DB7CE" w14:textId="77777777" w:rsidTr="00C27184">
        <w:tc>
          <w:tcPr>
            <w:tcW w:w="675" w:type="dxa"/>
          </w:tcPr>
          <w:p w14:paraId="4A0DB7CC" w14:textId="77777777" w:rsidR="00963DEF" w:rsidRPr="008819A7" w:rsidRDefault="00963DEF" w:rsidP="005A33B4">
            <w:pPr>
              <w:pStyle w:val="BMSBodyText"/>
              <w:numPr>
                <w:ilvl w:val="1"/>
                <w:numId w:val="9"/>
              </w:numPr>
            </w:pPr>
          </w:p>
        </w:tc>
        <w:tc>
          <w:tcPr>
            <w:tcW w:w="10030" w:type="dxa"/>
            <w:gridSpan w:val="3"/>
          </w:tcPr>
          <w:p w14:paraId="4A0DB7CD" w14:textId="77777777" w:rsidR="00963DEF" w:rsidRPr="009A5868" w:rsidRDefault="00963DEF" w:rsidP="004807C9">
            <w:pPr>
              <w:pStyle w:val="BMSBodyText"/>
            </w:pPr>
            <w:r>
              <w:rPr>
                <w:rFonts w:cstheme="minorHAnsi"/>
              </w:rPr>
              <w:t>There are no safe levels of exposure to vibration</w:t>
            </w:r>
            <w:r w:rsidR="004807C9">
              <w:rPr>
                <w:rFonts w:cstheme="minorHAnsi"/>
              </w:rPr>
              <w:t xml:space="preserve">.  Consequently, </w:t>
            </w:r>
            <w:r>
              <w:rPr>
                <w:rFonts w:cstheme="minorHAnsi"/>
              </w:rPr>
              <w:t xml:space="preserve">we must seek to eliminate exposure or reduce it to the lowest reasonably practicable level.  </w:t>
            </w:r>
          </w:p>
        </w:tc>
      </w:tr>
      <w:tr w:rsidR="00963DEF" w:rsidRPr="009A5868" w14:paraId="4A0DB7D1" w14:textId="77777777" w:rsidTr="00C27184">
        <w:tc>
          <w:tcPr>
            <w:tcW w:w="675" w:type="dxa"/>
          </w:tcPr>
          <w:p w14:paraId="4A0DB7CF" w14:textId="77777777" w:rsidR="00963DEF" w:rsidRPr="008819A7" w:rsidRDefault="00963DEF" w:rsidP="005A33B4">
            <w:pPr>
              <w:pStyle w:val="BMSBodyText"/>
              <w:numPr>
                <w:ilvl w:val="1"/>
                <w:numId w:val="9"/>
              </w:numPr>
            </w:pPr>
          </w:p>
        </w:tc>
        <w:tc>
          <w:tcPr>
            <w:tcW w:w="10030" w:type="dxa"/>
            <w:gridSpan w:val="3"/>
          </w:tcPr>
          <w:p w14:paraId="4A0DB7D0" w14:textId="77777777" w:rsidR="00963DEF" w:rsidRPr="000D5FD4" w:rsidRDefault="00963DEF" w:rsidP="0006524D">
            <w:pPr>
              <w:pStyle w:val="BMSBodyText"/>
              <w:rPr>
                <w:rFonts w:cstheme="minorHAnsi"/>
              </w:rPr>
            </w:pPr>
            <w:r>
              <w:rPr>
                <w:rFonts w:cstheme="minorHAnsi"/>
              </w:rPr>
              <w:t xml:space="preserve">The approach of the Company is that all works will be planned to eliminate </w:t>
            </w:r>
            <w:r w:rsidR="0006524D">
              <w:rPr>
                <w:rFonts w:cstheme="minorHAnsi"/>
              </w:rPr>
              <w:t xml:space="preserve">exposure to </w:t>
            </w:r>
            <w:r>
              <w:rPr>
                <w:rFonts w:cstheme="minorHAnsi"/>
              </w:rPr>
              <w:t>vibration at source</w:t>
            </w:r>
            <w:r w:rsidR="0006524D">
              <w:rPr>
                <w:rFonts w:cstheme="minorHAnsi"/>
              </w:rPr>
              <w:t>,</w:t>
            </w:r>
            <w:r>
              <w:rPr>
                <w:rFonts w:cstheme="minorHAnsi"/>
              </w:rPr>
              <w:t xml:space="preserve"> where practicable.  If this is not practicable the Company has adopted the H</w:t>
            </w:r>
            <w:r w:rsidR="003A1610">
              <w:rPr>
                <w:rFonts w:cstheme="minorHAnsi"/>
              </w:rPr>
              <w:t xml:space="preserve">ealth and </w:t>
            </w:r>
            <w:r>
              <w:rPr>
                <w:rFonts w:cstheme="minorHAnsi"/>
              </w:rPr>
              <w:t>S</w:t>
            </w:r>
            <w:r w:rsidR="003A1610">
              <w:rPr>
                <w:rFonts w:cstheme="minorHAnsi"/>
              </w:rPr>
              <w:t xml:space="preserve">afety </w:t>
            </w:r>
            <w:r>
              <w:rPr>
                <w:rFonts w:cstheme="minorHAnsi"/>
              </w:rPr>
              <w:t>E</w:t>
            </w:r>
            <w:r w:rsidR="003A1610">
              <w:rPr>
                <w:rFonts w:cstheme="minorHAnsi"/>
              </w:rPr>
              <w:t>xecutive</w:t>
            </w:r>
            <w:r>
              <w:rPr>
                <w:rFonts w:cstheme="minorHAnsi"/>
              </w:rPr>
              <w:t xml:space="preserve">’s </w:t>
            </w:r>
            <w:r w:rsidR="003A1610">
              <w:rPr>
                <w:rFonts w:cstheme="minorHAnsi"/>
              </w:rPr>
              <w:t xml:space="preserve">(HSE) </w:t>
            </w:r>
            <w:r>
              <w:rPr>
                <w:rFonts w:cstheme="minorHAnsi"/>
              </w:rPr>
              <w:t>points system for</w:t>
            </w:r>
            <w:r w:rsidR="0039567C">
              <w:rPr>
                <w:rFonts w:cstheme="minorHAnsi"/>
              </w:rPr>
              <w:t xml:space="preserve"> measuring vibration exposure. </w:t>
            </w:r>
          </w:p>
        </w:tc>
      </w:tr>
      <w:tr w:rsidR="000D5FD4" w:rsidRPr="009A5868" w14:paraId="4A0DB7D4" w14:textId="77777777" w:rsidTr="00C27184">
        <w:tc>
          <w:tcPr>
            <w:tcW w:w="675" w:type="dxa"/>
          </w:tcPr>
          <w:p w14:paraId="4A0DB7D2" w14:textId="77777777" w:rsidR="000D5FD4" w:rsidRPr="008819A7" w:rsidRDefault="000D5FD4" w:rsidP="000D5FD4">
            <w:pPr>
              <w:pStyle w:val="BMSBodyText"/>
            </w:pPr>
          </w:p>
        </w:tc>
        <w:tc>
          <w:tcPr>
            <w:tcW w:w="10030" w:type="dxa"/>
            <w:gridSpan w:val="3"/>
          </w:tcPr>
          <w:p w14:paraId="4A0DB7D3" w14:textId="77777777" w:rsidR="000D5FD4" w:rsidRDefault="000D5FD4" w:rsidP="00925EDA">
            <w:pPr>
              <w:pStyle w:val="BMSBodyText"/>
              <w:rPr>
                <w:rFonts w:cstheme="minorHAnsi"/>
              </w:rPr>
            </w:pPr>
            <w:r>
              <w:rPr>
                <w:rFonts w:cstheme="minorHAnsi"/>
              </w:rPr>
              <w:t>Where there is a diagnosis of HAVS Stage 0 on employment or following an occupational health assessment, the approach of the company is that exposure should not routinely exceed 100 points per shift/day (equivalent to the HSE Exposure Action Value). All reasonable steps should be taken to reduce exposure below this value where practicable.</w:t>
            </w:r>
          </w:p>
        </w:tc>
      </w:tr>
      <w:tr w:rsidR="000D5FD4" w:rsidRPr="009A5868" w14:paraId="4A0DB7D7" w14:textId="77777777" w:rsidTr="00C27184">
        <w:tc>
          <w:tcPr>
            <w:tcW w:w="675" w:type="dxa"/>
          </w:tcPr>
          <w:p w14:paraId="4A0DB7D5" w14:textId="77777777" w:rsidR="000D5FD4" w:rsidRPr="008819A7" w:rsidRDefault="000D5FD4" w:rsidP="000D5FD4">
            <w:pPr>
              <w:pStyle w:val="BMSBodyText"/>
            </w:pPr>
          </w:p>
        </w:tc>
        <w:tc>
          <w:tcPr>
            <w:tcW w:w="10030" w:type="dxa"/>
            <w:gridSpan w:val="3"/>
          </w:tcPr>
          <w:p w14:paraId="4A0DB7D6" w14:textId="1387867D" w:rsidR="000D5FD4" w:rsidRDefault="000D5FD4" w:rsidP="00925EDA">
            <w:pPr>
              <w:pStyle w:val="BMSBodyText"/>
              <w:rPr>
                <w:rFonts w:cstheme="minorHAnsi"/>
              </w:rPr>
            </w:pPr>
            <w:r>
              <w:rPr>
                <w:rFonts w:cstheme="minorHAnsi"/>
              </w:rPr>
              <w:t xml:space="preserve">Exposure must never exceed 350 points (50 points lower than the HSE Exposure Limit Value). This value should not </w:t>
            </w:r>
            <w:r w:rsidR="00DA46B3">
              <w:rPr>
                <w:rFonts w:cstheme="minorHAnsi"/>
              </w:rPr>
              <w:t>be</w:t>
            </w:r>
            <w:r>
              <w:rPr>
                <w:rFonts w:cstheme="minorHAnsi"/>
              </w:rPr>
              <w:t xml:space="preserve"> a target level because of the significant health risks associated with exposures above 100 points.</w:t>
            </w:r>
          </w:p>
        </w:tc>
      </w:tr>
      <w:tr w:rsidR="00963DEF" w:rsidRPr="009A5868" w14:paraId="4A0DB7DA" w14:textId="77777777" w:rsidTr="00C27184">
        <w:tc>
          <w:tcPr>
            <w:tcW w:w="675" w:type="dxa"/>
          </w:tcPr>
          <w:p w14:paraId="4A0DB7D8" w14:textId="77777777" w:rsidR="00963DEF" w:rsidRPr="008A5E37" w:rsidRDefault="00963DEF" w:rsidP="005A33B4">
            <w:pPr>
              <w:pStyle w:val="BMSBodyText"/>
              <w:numPr>
                <w:ilvl w:val="1"/>
                <w:numId w:val="9"/>
              </w:numPr>
            </w:pPr>
          </w:p>
        </w:tc>
        <w:tc>
          <w:tcPr>
            <w:tcW w:w="10030" w:type="dxa"/>
            <w:gridSpan w:val="3"/>
          </w:tcPr>
          <w:p w14:paraId="4A0DB7D9" w14:textId="77777777" w:rsidR="00963DEF" w:rsidRPr="009A5868" w:rsidRDefault="00963DEF" w:rsidP="00D07D98">
            <w:pPr>
              <w:pStyle w:val="BMSBodyText"/>
            </w:pPr>
            <w:r>
              <w:rPr>
                <w:rFonts w:cstheme="minorHAnsi"/>
              </w:rPr>
              <w:t xml:space="preserve">Where an </w:t>
            </w:r>
            <w:r w:rsidRPr="006A16C7">
              <w:rPr>
                <w:rFonts w:cstheme="minorHAnsi"/>
              </w:rPr>
              <w:t xml:space="preserve">Occupational Health Assessment </w:t>
            </w:r>
            <w:r w:rsidR="005F2FC1">
              <w:rPr>
                <w:rFonts w:cstheme="minorHAnsi"/>
              </w:rPr>
              <w:t xml:space="preserve">diagnoses HAVS </w:t>
            </w:r>
            <w:r>
              <w:rPr>
                <w:rFonts w:cstheme="minorHAnsi"/>
              </w:rPr>
              <w:t xml:space="preserve">Stage 1 or Stage 2 </w:t>
            </w:r>
            <w:r w:rsidR="0025201E">
              <w:rPr>
                <w:rFonts w:cstheme="minorHAnsi"/>
              </w:rPr>
              <w:t>E</w:t>
            </w:r>
            <w:r>
              <w:rPr>
                <w:rFonts w:cstheme="minorHAnsi"/>
              </w:rPr>
              <w:t>arly</w:t>
            </w:r>
            <w:r w:rsidR="000D2F6B">
              <w:rPr>
                <w:rFonts w:cstheme="minorHAnsi"/>
              </w:rPr>
              <w:t>,</w:t>
            </w:r>
            <w:r>
              <w:rPr>
                <w:rFonts w:cstheme="minorHAnsi"/>
              </w:rPr>
              <w:t xml:space="preserve"> exposure to vibration should be reviewed and reduced as far as reasonably practicable in accordance with current HSE guidelines</w:t>
            </w:r>
            <w:r w:rsidR="00D07D98">
              <w:rPr>
                <w:rFonts w:cstheme="minorHAnsi"/>
              </w:rPr>
              <w:t>.  The</w:t>
            </w:r>
            <w:r>
              <w:rPr>
                <w:rFonts w:cstheme="minorHAnsi"/>
              </w:rPr>
              <w:t xml:space="preserve"> </w:t>
            </w:r>
            <w:r w:rsidR="00876C26">
              <w:rPr>
                <w:rFonts w:cstheme="minorHAnsi"/>
              </w:rPr>
              <w:t xml:space="preserve">exposure </w:t>
            </w:r>
            <w:r w:rsidR="000B7D18">
              <w:rPr>
                <w:rFonts w:cstheme="minorHAnsi"/>
              </w:rPr>
              <w:t xml:space="preserve">for the affected individual </w:t>
            </w:r>
            <w:r w:rsidRPr="006A16C7">
              <w:rPr>
                <w:rFonts w:cstheme="minorHAnsi"/>
              </w:rPr>
              <w:t xml:space="preserve">must not </w:t>
            </w:r>
            <w:r w:rsidRPr="00D07D98">
              <w:rPr>
                <w:rFonts w:cstheme="minorHAnsi"/>
                <w:b/>
                <w:u w:val="single"/>
              </w:rPr>
              <w:t>routinely</w:t>
            </w:r>
            <w:r w:rsidRPr="006A16C7">
              <w:rPr>
                <w:rFonts w:cstheme="minorHAnsi"/>
              </w:rPr>
              <w:t xml:space="preserve"> </w:t>
            </w:r>
            <w:r w:rsidR="00175474">
              <w:rPr>
                <w:rFonts w:cstheme="minorHAnsi"/>
              </w:rPr>
              <w:t>exceed</w:t>
            </w:r>
            <w:r w:rsidRPr="006A16C7">
              <w:rPr>
                <w:rFonts w:cstheme="minorHAnsi"/>
              </w:rPr>
              <w:t xml:space="preserve"> </w:t>
            </w:r>
            <w:r>
              <w:rPr>
                <w:rFonts w:cstheme="minorHAnsi"/>
              </w:rPr>
              <w:t>50</w:t>
            </w:r>
            <w:r w:rsidRPr="006A16C7">
              <w:rPr>
                <w:rFonts w:cstheme="minorHAnsi"/>
              </w:rPr>
              <w:t xml:space="preserve"> points</w:t>
            </w:r>
            <w:r w:rsidR="00876C26">
              <w:rPr>
                <w:rFonts w:cstheme="minorHAnsi"/>
              </w:rPr>
              <w:t xml:space="preserve"> and </w:t>
            </w:r>
            <w:r w:rsidRPr="006A16C7">
              <w:rPr>
                <w:rFonts w:cstheme="minorHAnsi"/>
              </w:rPr>
              <w:t xml:space="preserve">must never </w:t>
            </w:r>
            <w:r w:rsidR="00D07D98">
              <w:rPr>
                <w:rFonts w:cstheme="minorHAnsi"/>
              </w:rPr>
              <w:t xml:space="preserve">in total </w:t>
            </w:r>
            <w:r w:rsidR="00175474">
              <w:rPr>
                <w:rFonts w:cstheme="minorHAnsi"/>
              </w:rPr>
              <w:t>exceed</w:t>
            </w:r>
            <w:r w:rsidR="00175474" w:rsidRPr="006A16C7">
              <w:rPr>
                <w:rFonts w:cstheme="minorHAnsi"/>
              </w:rPr>
              <w:t xml:space="preserve"> </w:t>
            </w:r>
            <w:r>
              <w:rPr>
                <w:rFonts w:cstheme="minorHAnsi"/>
              </w:rPr>
              <w:t>75</w:t>
            </w:r>
            <w:r w:rsidRPr="006A16C7">
              <w:rPr>
                <w:rFonts w:cstheme="minorHAnsi"/>
              </w:rPr>
              <w:t xml:space="preserve"> points</w:t>
            </w:r>
            <w:r>
              <w:rPr>
                <w:rFonts w:cstheme="minorHAnsi"/>
              </w:rPr>
              <w:t xml:space="preserve">.  </w:t>
            </w:r>
          </w:p>
        </w:tc>
      </w:tr>
      <w:tr w:rsidR="00963DEF" w:rsidRPr="009A5868" w14:paraId="4A0DB7DD" w14:textId="77777777" w:rsidTr="00C27184">
        <w:tc>
          <w:tcPr>
            <w:tcW w:w="675" w:type="dxa"/>
          </w:tcPr>
          <w:p w14:paraId="4A0DB7DB" w14:textId="77777777" w:rsidR="00963DEF" w:rsidRPr="008819A7" w:rsidRDefault="00963DEF" w:rsidP="005A33B4">
            <w:pPr>
              <w:pStyle w:val="BMSBodyText"/>
              <w:numPr>
                <w:ilvl w:val="1"/>
                <w:numId w:val="9"/>
              </w:numPr>
            </w:pPr>
          </w:p>
        </w:tc>
        <w:tc>
          <w:tcPr>
            <w:tcW w:w="10030" w:type="dxa"/>
            <w:gridSpan w:val="3"/>
          </w:tcPr>
          <w:p w14:paraId="4A0DB7DC" w14:textId="77777777" w:rsidR="0039567C" w:rsidRPr="009A5868" w:rsidRDefault="00963DEF" w:rsidP="00D07D98">
            <w:pPr>
              <w:pStyle w:val="BMSBodyText"/>
            </w:pPr>
            <w:r>
              <w:rPr>
                <w:rFonts w:cstheme="minorHAnsi"/>
              </w:rPr>
              <w:t xml:space="preserve">Where an </w:t>
            </w:r>
            <w:r w:rsidRPr="006A16C7">
              <w:rPr>
                <w:rFonts w:cstheme="minorHAnsi"/>
              </w:rPr>
              <w:t xml:space="preserve">Occupational Health Assessment </w:t>
            </w:r>
            <w:r>
              <w:rPr>
                <w:rFonts w:cstheme="minorHAnsi"/>
              </w:rPr>
              <w:t xml:space="preserve">diagnoses HAVS </w:t>
            </w:r>
            <w:r>
              <w:rPr>
                <w:rFonts w:cstheme="minorHAnsi"/>
                <w:color w:val="000000"/>
              </w:rPr>
              <w:t xml:space="preserve">Stage 2 </w:t>
            </w:r>
            <w:r w:rsidR="0025201E">
              <w:rPr>
                <w:rFonts w:cstheme="minorHAnsi"/>
                <w:color w:val="000000"/>
              </w:rPr>
              <w:t>L</w:t>
            </w:r>
            <w:r>
              <w:rPr>
                <w:rFonts w:cstheme="minorHAnsi"/>
                <w:color w:val="000000"/>
              </w:rPr>
              <w:t xml:space="preserve">ate or Stage 3 </w:t>
            </w:r>
            <w:r>
              <w:rPr>
                <w:rFonts w:cstheme="minorHAnsi"/>
              </w:rPr>
              <w:t>and</w:t>
            </w:r>
            <w:r w:rsidR="00620C4A">
              <w:rPr>
                <w:rFonts w:cstheme="minorHAnsi"/>
              </w:rPr>
              <w:t xml:space="preserve"> the assessment</w:t>
            </w:r>
            <w:r>
              <w:rPr>
                <w:rFonts w:cstheme="minorHAnsi"/>
              </w:rPr>
              <w:t xml:space="preserve"> recommends </w:t>
            </w:r>
            <w:r w:rsidRPr="00C960B0">
              <w:rPr>
                <w:rFonts w:cstheme="minorHAnsi"/>
              </w:rPr>
              <w:t>an employee i</w:t>
            </w:r>
            <w:r>
              <w:rPr>
                <w:rFonts w:cstheme="minorHAnsi"/>
              </w:rPr>
              <w:t>s permanently removed from vibration exposure,</w:t>
            </w:r>
            <w:r w:rsidRPr="006A16C7">
              <w:rPr>
                <w:rFonts w:cstheme="minorHAnsi"/>
                <w:color w:val="000000"/>
              </w:rPr>
              <w:t xml:space="preserve"> </w:t>
            </w:r>
            <w:r>
              <w:rPr>
                <w:rFonts w:cstheme="minorHAnsi"/>
                <w:color w:val="000000"/>
              </w:rPr>
              <w:t xml:space="preserve">individuals are </w:t>
            </w:r>
            <w:r w:rsidRPr="006A16C7">
              <w:rPr>
                <w:rFonts w:cstheme="minorHAnsi"/>
                <w:color w:val="000000"/>
              </w:rPr>
              <w:t xml:space="preserve">prohibited from using </w:t>
            </w:r>
            <w:r>
              <w:rPr>
                <w:rFonts w:cstheme="minorHAnsi"/>
                <w:color w:val="000000"/>
              </w:rPr>
              <w:t>hand</w:t>
            </w:r>
            <w:r w:rsidR="00D07D98">
              <w:rPr>
                <w:rFonts w:cstheme="minorHAnsi"/>
                <w:color w:val="000000"/>
              </w:rPr>
              <w:t>-</w:t>
            </w:r>
            <w:r>
              <w:rPr>
                <w:rFonts w:cstheme="minorHAnsi"/>
                <w:color w:val="000000"/>
              </w:rPr>
              <w:t xml:space="preserve">held </w:t>
            </w:r>
            <w:r w:rsidRPr="006A16C7">
              <w:rPr>
                <w:rFonts w:cstheme="minorHAnsi"/>
                <w:color w:val="000000"/>
              </w:rPr>
              <w:t>vibrating tools/equipment.</w:t>
            </w:r>
          </w:p>
        </w:tc>
      </w:tr>
      <w:tr w:rsidR="00963DEF" w:rsidRPr="009A5868" w14:paraId="4A0DB7E0" w14:textId="77777777" w:rsidTr="00C27184">
        <w:tc>
          <w:tcPr>
            <w:tcW w:w="675" w:type="dxa"/>
          </w:tcPr>
          <w:p w14:paraId="4A0DB7DE" w14:textId="77777777" w:rsidR="00963DEF" w:rsidRPr="008819A7" w:rsidRDefault="00963DEF" w:rsidP="00160027">
            <w:pPr>
              <w:pStyle w:val="BMSBodyText"/>
              <w:keepNext/>
              <w:numPr>
                <w:ilvl w:val="0"/>
                <w:numId w:val="9"/>
              </w:numPr>
            </w:pPr>
          </w:p>
        </w:tc>
        <w:tc>
          <w:tcPr>
            <w:tcW w:w="10030" w:type="dxa"/>
            <w:gridSpan w:val="3"/>
          </w:tcPr>
          <w:p w14:paraId="4A0DB7DF" w14:textId="77777777" w:rsidR="00963DEF" w:rsidRPr="009A5868" w:rsidRDefault="00D07D98" w:rsidP="00D07D98">
            <w:pPr>
              <w:pStyle w:val="BMSBodyText"/>
              <w:keepNext/>
            </w:pPr>
            <w:r>
              <w:rPr>
                <w:rFonts w:cstheme="minorHAnsi"/>
                <w:b/>
              </w:rPr>
              <w:t xml:space="preserve">DESIGN AND </w:t>
            </w:r>
            <w:r w:rsidR="00963DEF">
              <w:rPr>
                <w:rFonts w:cstheme="minorHAnsi"/>
                <w:b/>
              </w:rPr>
              <w:t>PRE</w:t>
            </w:r>
            <w:r w:rsidR="00620C4A">
              <w:rPr>
                <w:rFonts w:cstheme="minorHAnsi"/>
                <w:b/>
              </w:rPr>
              <w:t>-</w:t>
            </w:r>
            <w:r w:rsidR="00963DEF">
              <w:rPr>
                <w:rFonts w:cstheme="minorHAnsi"/>
                <w:b/>
              </w:rPr>
              <w:t>CONSTRUCTION</w:t>
            </w:r>
            <w:r>
              <w:rPr>
                <w:rFonts w:cstheme="minorHAnsi"/>
                <w:b/>
              </w:rPr>
              <w:t xml:space="preserve"> </w:t>
            </w:r>
            <w:r w:rsidR="00963DEF">
              <w:rPr>
                <w:rFonts w:cstheme="minorHAnsi"/>
                <w:b/>
              </w:rPr>
              <w:t>PHASE</w:t>
            </w:r>
            <w:r>
              <w:rPr>
                <w:rFonts w:cstheme="minorHAnsi"/>
                <w:b/>
              </w:rPr>
              <w:t>S</w:t>
            </w:r>
          </w:p>
        </w:tc>
      </w:tr>
      <w:tr w:rsidR="00963DEF" w:rsidRPr="009A5868" w14:paraId="4A0DB7E3" w14:textId="77777777" w:rsidTr="00C27184">
        <w:tc>
          <w:tcPr>
            <w:tcW w:w="675" w:type="dxa"/>
          </w:tcPr>
          <w:p w14:paraId="4A0DB7E1" w14:textId="77777777" w:rsidR="00963DEF" w:rsidRPr="009A5868" w:rsidRDefault="00963DEF" w:rsidP="005A33B4">
            <w:pPr>
              <w:pStyle w:val="BMSBodyText"/>
              <w:numPr>
                <w:ilvl w:val="1"/>
                <w:numId w:val="9"/>
              </w:numPr>
            </w:pPr>
          </w:p>
        </w:tc>
        <w:tc>
          <w:tcPr>
            <w:tcW w:w="10030" w:type="dxa"/>
            <w:gridSpan w:val="3"/>
          </w:tcPr>
          <w:p w14:paraId="4A0DB7E2" w14:textId="77777777" w:rsidR="00963DEF" w:rsidRDefault="00963DEF" w:rsidP="0011104B">
            <w:pPr>
              <w:pStyle w:val="BMSBodyText"/>
              <w:rPr>
                <w:rFonts w:cstheme="minorHAnsi"/>
              </w:rPr>
            </w:pPr>
            <w:r>
              <w:rPr>
                <w:rFonts w:cstheme="minorHAnsi"/>
              </w:rPr>
              <w:t>The Company is committed to work with Clients and Designers to ensure that so far as is reasonably practica</w:t>
            </w:r>
            <w:r w:rsidR="0025201E">
              <w:rPr>
                <w:rFonts w:cstheme="minorHAnsi"/>
              </w:rPr>
              <w:t>b</w:t>
            </w:r>
            <w:r>
              <w:rPr>
                <w:rFonts w:cstheme="minorHAnsi"/>
              </w:rPr>
              <w:t>l</w:t>
            </w:r>
            <w:r w:rsidR="0025201E">
              <w:rPr>
                <w:rFonts w:cstheme="minorHAnsi"/>
              </w:rPr>
              <w:t>e</w:t>
            </w:r>
            <w:r>
              <w:rPr>
                <w:rFonts w:cstheme="minorHAnsi"/>
              </w:rPr>
              <w:t xml:space="preserve"> all HAV</w:t>
            </w:r>
            <w:r w:rsidR="0039567C">
              <w:rPr>
                <w:rFonts w:cstheme="minorHAnsi"/>
              </w:rPr>
              <w:t xml:space="preserve"> </w:t>
            </w:r>
            <w:r>
              <w:rPr>
                <w:rFonts w:cstheme="minorHAnsi"/>
              </w:rPr>
              <w:t xml:space="preserve">exposure is eliminated or controlled through the design </w:t>
            </w:r>
            <w:r w:rsidR="0011104B">
              <w:rPr>
                <w:rFonts w:cstheme="minorHAnsi"/>
              </w:rPr>
              <w:t>process.</w:t>
            </w:r>
          </w:p>
        </w:tc>
      </w:tr>
      <w:tr w:rsidR="00963DEF" w:rsidRPr="009A5868" w14:paraId="4A0DB7E6" w14:textId="77777777" w:rsidTr="00C27184">
        <w:tc>
          <w:tcPr>
            <w:tcW w:w="675" w:type="dxa"/>
          </w:tcPr>
          <w:p w14:paraId="4A0DB7E4" w14:textId="77777777" w:rsidR="00963DEF" w:rsidRPr="009A5868" w:rsidRDefault="00963DEF" w:rsidP="005A33B4">
            <w:pPr>
              <w:pStyle w:val="BMSBodyText"/>
              <w:numPr>
                <w:ilvl w:val="1"/>
                <w:numId w:val="9"/>
              </w:numPr>
            </w:pPr>
          </w:p>
        </w:tc>
        <w:tc>
          <w:tcPr>
            <w:tcW w:w="10030" w:type="dxa"/>
            <w:gridSpan w:val="3"/>
          </w:tcPr>
          <w:p w14:paraId="4A0DB7E5" w14:textId="77777777" w:rsidR="00963DEF" w:rsidRPr="008C2EB8" w:rsidRDefault="00963DEF" w:rsidP="00D07D98">
            <w:pPr>
              <w:pStyle w:val="BMSBodyText"/>
              <w:rPr>
                <w:rFonts w:cstheme="minorHAnsi"/>
              </w:rPr>
            </w:pPr>
            <w:r>
              <w:rPr>
                <w:rFonts w:cstheme="minorHAnsi"/>
              </w:rPr>
              <w:t xml:space="preserve">The Site Lead </w:t>
            </w:r>
            <w:r w:rsidR="0011104B">
              <w:rPr>
                <w:rFonts w:cstheme="minorHAnsi"/>
              </w:rPr>
              <w:t>must</w:t>
            </w:r>
            <w:r>
              <w:rPr>
                <w:rFonts w:cstheme="minorHAnsi"/>
              </w:rPr>
              <w:t xml:space="preserve"> ensure that</w:t>
            </w:r>
            <w:r w:rsidR="00D07D98">
              <w:rPr>
                <w:rFonts w:cstheme="minorHAnsi"/>
              </w:rPr>
              <w:t>,</w:t>
            </w:r>
            <w:r>
              <w:rPr>
                <w:rFonts w:cstheme="minorHAnsi"/>
              </w:rPr>
              <w:t xml:space="preserve"> during the </w:t>
            </w:r>
            <w:r w:rsidR="00D07D98">
              <w:rPr>
                <w:rFonts w:cstheme="minorHAnsi"/>
              </w:rPr>
              <w:t xml:space="preserve">design and </w:t>
            </w:r>
            <w:r>
              <w:rPr>
                <w:rFonts w:cstheme="minorHAnsi"/>
              </w:rPr>
              <w:t>pre-construction</w:t>
            </w:r>
            <w:r w:rsidR="00D07D98">
              <w:rPr>
                <w:rFonts w:cstheme="minorHAnsi"/>
              </w:rPr>
              <w:t xml:space="preserve"> </w:t>
            </w:r>
            <w:r>
              <w:rPr>
                <w:rFonts w:cstheme="minorHAnsi"/>
              </w:rPr>
              <w:t>phase</w:t>
            </w:r>
            <w:r w:rsidR="00D07D98">
              <w:rPr>
                <w:rFonts w:cstheme="minorHAnsi"/>
              </w:rPr>
              <w:t>s</w:t>
            </w:r>
            <w:r w:rsidR="00C8252E">
              <w:rPr>
                <w:rFonts w:cstheme="minorHAnsi"/>
              </w:rPr>
              <w:t>,</w:t>
            </w:r>
            <w:r>
              <w:rPr>
                <w:rFonts w:cstheme="minorHAnsi"/>
              </w:rPr>
              <w:t xml:space="preserve"> elimination </w:t>
            </w:r>
            <w:r w:rsidR="00C8252E">
              <w:rPr>
                <w:rFonts w:cstheme="minorHAnsi"/>
              </w:rPr>
              <w:t>of exposure is prioritised</w:t>
            </w:r>
            <w:r>
              <w:rPr>
                <w:rFonts w:cstheme="minorHAnsi"/>
              </w:rPr>
              <w:t>.</w:t>
            </w:r>
          </w:p>
        </w:tc>
      </w:tr>
      <w:tr w:rsidR="00963DEF" w:rsidRPr="009A5868" w14:paraId="4A0DB7E9" w14:textId="77777777" w:rsidTr="00C27184">
        <w:tc>
          <w:tcPr>
            <w:tcW w:w="675" w:type="dxa"/>
          </w:tcPr>
          <w:p w14:paraId="4A0DB7E7" w14:textId="77777777" w:rsidR="00963DEF" w:rsidRPr="009A5868" w:rsidRDefault="00963DEF" w:rsidP="005A33B4">
            <w:pPr>
              <w:pStyle w:val="BMSBodyText"/>
              <w:numPr>
                <w:ilvl w:val="1"/>
                <w:numId w:val="9"/>
              </w:numPr>
            </w:pPr>
          </w:p>
        </w:tc>
        <w:tc>
          <w:tcPr>
            <w:tcW w:w="10030" w:type="dxa"/>
            <w:gridSpan w:val="3"/>
          </w:tcPr>
          <w:p w14:paraId="4A0DB7E8" w14:textId="77777777" w:rsidR="00963DEF" w:rsidRDefault="00963DEF" w:rsidP="006A5FB0">
            <w:pPr>
              <w:pStyle w:val="BMSBodyText"/>
              <w:rPr>
                <w:rFonts w:cstheme="minorHAnsi"/>
              </w:rPr>
            </w:pPr>
            <w:r>
              <w:rPr>
                <w:rFonts w:cstheme="minorHAnsi"/>
              </w:rPr>
              <w:t xml:space="preserve">The Site Lead </w:t>
            </w:r>
            <w:r w:rsidR="0011104B">
              <w:rPr>
                <w:rFonts w:cstheme="minorHAnsi"/>
              </w:rPr>
              <w:t>must ensure</w:t>
            </w:r>
            <w:r>
              <w:rPr>
                <w:rFonts w:cstheme="minorHAnsi"/>
              </w:rPr>
              <w:t xml:space="preserve"> every element of the design </w:t>
            </w:r>
            <w:r w:rsidR="0011104B">
              <w:rPr>
                <w:rFonts w:cstheme="minorHAnsi"/>
              </w:rPr>
              <w:t xml:space="preserve">is challenged </w:t>
            </w:r>
            <w:r>
              <w:rPr>
                <w:rFonts w:cstheme="minorHAnsi"/>
              </w:rPr>
              <w:t>to ensure that all reasonably practica</w:t>
            </w:r>
            <w:r w:rsidR="006A0821">
              <w:rPr>
                <w:rFonts w:cstheme="minorHAnsi"/>
              </w:rPr>
              <w:t>b</w:t>
            </w:r>
            <w:r>
              <w:rPr>
                <w:rFonts w:cstheme="minorHAnsi"/>
              </w:rPr>
              <w:t>l</w:t>
            </w:r>
            <w:r w:rsidR="006A0821">
              <w:rPr>
                <w:rFonts w:cstheme="minorHAnsi"/>
              </w:rPr>
              <w:t>e</w:t>
            </w:r>
            <w:r>
              <w:rPr>
                <w:rFonts w:cstheme="minorHAnsi"/>
              </w:rPr>
              <w:t xml:space="preserve"> measures have been taken to achieve this and that the design contains no </w:t>
            </w:r>
            <w:r w:rsidR="006A5FB0">
              <w:rPr>
                <w:rFonts w:cstheme="minorHAnsi"/>
              </w:rPr>
              <w:t>‘</w:t>
            </w:r>
            <w:r>
              <w:rPr>
                <w:rFonts w:cstheme="minorHAnsi"/>
              </w:rPr>
              <w:t xml:space="preserve">Red </w:t>
            </w:r>
            <w:r w:rsidR="006A5FB0">
              <w:rPr>
                <w:rFonts w:cstheme="minorHAnsi"/>
              </w:rPr>
              <w:t>R</w:t>
            </w:r>
            <w:r>
              <w:rPr>
                <w:rFonts w:cstheme="minorHAnsi"/>
              </w:rPr>
              <w:t>isks</w:t>
            </w:r>
            <w:r w:rsidR="006A5FB0">
              <w:rPr>
                <w:rFonts w:cstheme="minorHAnsi"/>
              </w:rPr>
              <w:t>’</w:t>
            </w:r>
            <w:r>
              <w:rPr>
                <w:rFonts w:cstheme="minorHAnsi"/>
              </w:rPr>
              <w:t xml:space="preserve"> (as </w:t>
            </w:r>
            <w:r w:rsidR="00FD4A83">
              <w:rPr>
                <w:rFonts w:cstheme="minorHAnsi"/>
              </w:rPr>
              <w:t xml:space="preserve">listed in the CITB industry </w:t>
            </w:r>
            <w:r>
              <w:rPr>
                <w:rFonts w:cstheme="minorHAnsi"/>
              </w:rPr>
              <w:t>guidance</w:t>
            </w:r>
            <w:r w:rsidR="00FD4A83">
              <w:rPr>
                <w:rFonts w:cstheme="minorHAnsi"/>
              </w:rPr>
              <w:t xml:space="preserve"> on </w:t>
            </w:r>
            <w:r w:rsidR="006A0821">
              <w:rPr>
                <w:rFonts w:cstheme="minorHAnsi"/>
              </w:rPr>
              <w:t xml:space="preserve">the </w:t>
            </w:r>
            <w:hyperlink r:id="rId13" w:history="1">
              <w:r w:rsidR="00FD4A83" w:rsidRPr="00BA270F">
                <w:rPr>
                  <w:rStyle w:val="Hyperlink"/>
                  <w:rFonts w:cstheme="minorHAnsi"/>
                </w:rPr>
                <w:t>CDM15</w:t>
              </w:r>
              <w:r w:rsidR="006A0821" w:rsidRPr="00BA270F">
                <w:rPr>
                  <w:rStyle w:val="Hyperlink"/>
                  <w:rFonts w:cstheme="minorHAnsi"/>
                </w:rPr>
                <w:t xml:space="preserve"> Regulations</w:t>
              </w:r>
            </w:hyperlink>
            <w:r>
              <w:rPr>
                <w:rFonts w:cstheme="minorHAnsi"/>
              </w:rPr>
              <w:t>).</w:t>
            </w:r>
          </w:p>
        </w:tc>
      </w:tr>
      <w:tr w:rsidR="00963DEF" w:rsidRPr="009A5868" w14:paraId="4A0DB7EC" w14:textId="77777777" w:rsidTr="00C27184">
        <w:trPr>
          <w:cantSplit/>
        </w:trPr>
        <w:tc>
          <w:tcPr>
            <w:tcW w:w="675" w:type="dxa"/>
          </w:tcPr>
          <w:p w14:paraId="4A0DB7EA" w14:textId="77777777" w:rsidR="00963DEF" w:rsidRPr="009A5868" w:rsidRDefault="00963DEF" w:rsidP="005A33B4">
            <w:pPr>
              <w:pStyle w:val="BMSBodyText"/>
              <w:numPr>
                <w:ilvl w:val="0"/>
                <w:numId w:val="9"/>
              </w:numPr>
            </w:pPr>
          </w:p>
        </w:tc>
        <w:tc>
          <w:tcPr>
            <w:tcW w:w="10030" w:type="dxa"/>
            <w:gridSpan w:val="3"/>
          </w:tcPr>
          <w:p w14:paraId="4A0DB7EB" w14:textId="77777777" w:rsidR="00963DEF" w:rsidRDefault="00963DEF" w:rsidP="00D07D98">
            <w:pPr>
              <w:pStyle w:val="BMSBodyText"/>
              <w:rPr>
                <w:rFonts w:cstheme="minorHAnsi"/>
              </w:rPr>
            </w:pPr>
            <w:r>
              <w:rPr>
                <w:rFonts w:cstheme="minorHAnsi"/>
                <w:b/>
              </w:rPr>
              <w:t>CONSTRUCTION</w:t>
            </w:r>
            <w:r w:rsidR="00D07D98">
              <w:rPr>
                <w:rFonts w:cstheme="minorHAnsi"/>
                <w:b/>
              </w:rPr>
              <w:t xml:space="preserve"> AND </w:t>
            </w:r>
            <w:r w:rsidR="00103382">
              <w:rPr>
                <w:rFonts w:cstheme="minorHAnsi"/>
                <w:b/>
              </w:rPr>
              <w:t>OPERATION</w:t>
            </w:r>
            <w:r w:rsidR="00D07D98">
              <w:rPr>
                <w:rFonts w:cstheme="minorHAnsi"/>
                <w:b/>
              </w:rPr>
              <w:t>S</w:t>
            </w:r>
            <w:r>
              <w:rPr>
                <w:rFonts w:cstheme="minorHAnsi"/>
                <w:b/>
              </w:rPr>
              <w:t xml:space="preserve"> PHASE</w:t>
            </w:r>
          </w:p>
        </w:tc>
      </w:tr>
      <w:tr w:rsidR="00963DEF" w:rsidRPr="009A5868" w14:paraId="4A0DB7EF" w14:textId="77777777" w:rsidTr="00C27184">
        <w:trPr>
          <w:cantSplit/>
        </w:trPr>
        <w:tc>
          <w:tcPr>
            <w:tcW w:w="675" w:type="dxa"/>
          </w:tcPr>
          <w:p w14:paraId="4A0DB7ED" w14:textId="77777777" w:rsidR="00963DEF" w:rsidRPr="009A5868" w:rsidRDefault="00963DEF" w:rsidP="005A33B4">
            <w:pPr>
              <w:pStyle w:val="BMSBodyText"/>
              <w:numPr>
                <w:ilvl w:val="1"/>
                <w:numId w:val="9"/>
              </w:numPr>
            </w:pPr>
          </w:p>
        </w:tc>
        <w:tc>
          <w:tcPr>
            <w:tcW w:w="10030" w:type="dxa"/>
            <w:gridSpan w:val="3"/>
          </w:tcPr>
          <w:p w14:paraId="4A0DB7EE" w14:textId="77777777" w:rsidR="00561D99" w:rsidRPr="000D5FD4" w:rsidRDefault="00C27184" w:rsidP="00AA6B12">
            <w:pPr>
              <w:pStyle w:val="BMSBodyText"/>
              <w:rPr>
                <w:rFonts w:cstheme="minorHAnsi"/>
              </w:rPr>
            </w:pPr>
            <w:r w:rsidRPr="00C27184">
              <w:rPr>
                <w:rFonts w:cstheme="minorHAnsi"/>
              </w:rPr>
              <w:t>The Site Lead will ensure that a suitable and sufficient risk assessment of all activities that involve the use of hand-held or guided vibrating plant / equipment is carried out prior to commencement of the works using the HAV Risk Assessment form (</w:t>
            </w:r>
            <w:hyperlink r:id="rId14" w:history="1">
              <w:r w:rsidRPr="004D61BB">
                <w:rPr>
                  <w:rStyle w:val="Hyperlink"/>
                  <w:rFonts w:cstheme="minorHAnsi"/>
                </w:rPr>
                <w:t>HSF-SF-0060b</w:t>
              </w:r>
            </w:hyperlink>
            <w:r w:rsidRPr="00C27184">
              <w:rPr>
                <w:rFonts w:cstheme="minorHAnsi"/>
              </w:rPr>
              <w:t xml:space="preserve">).  Where exposure cannot be eliminated, the Site Lead must ensure relevant risk control measures as identified in the assessment are contained </w:t>
            </w:r>
            <w:r>
              <w:rPr>
                <w:rFonts w:cstheme="minorHAnsi"/>
              </w:rPr>
              <w:t>within the Safe System of Work.</w:t>
            </w:r>
          </w:p>
        </w:tc>
      </w:tr>
      <w:tr w:rsidR="000D5FD4" w:rsidRPr="009A5868" w14:paraId="4A0DB7F2" w14:textId="77777777" w:rsidTr="00C27184">
        <w:trPr>
          <w:cantSplit/>
        </w:trPr>
        <w:tc>
          <w:tcPr>
            <w:tcW w:w="675" w:type="dxa"/>
          </w:tcPr>
          <w:p w14:paraId="4A0DB7F0" w14:textId="77777777" w:rsidR="000D5FD4" w:rsidRPr="009A5868" w:rsidRDefault="000D5FD4" w:rsidP="00022902">
            <w:pPr>
              <w:pStyle w:val="BMSBodyText"/>
              <w:numPr>
                <w:ilvl w:val="1"/>
                <w:numId w:val="9"/>
              </w:numPr>
            </w:pPr>
          </w:p>
        </w:tc>
        <w:tc>
          <w:tcPr>
            <w:tcW w:w="10030" w:type="dxa"/>
            <w:gridSpan w:val="3"/>
          </w:tcPr>
          <w:p w14:paraId="4A0DB7F1" w14:textId="77777777" w:rsidR="000D5FD4" w:rsidRDefault="000D5FD4" w:rsidP="006A0821">
            <w:pPr>
              <w:pStyle w:val="BMSBodyText"/>
              <w:rPr>
                <w:rFonts w:cstheme="minorHAnsi"/>
              </w:rPr>
            </w:pPr>
            <w:r>
              <w:rPr>
                <w:rFonts w:cstheme="minorHAnsi"/>
              </w:rPr>
              <w:t>The approach to be taken to reduce health risks associated with vibration exposure should apply the following steps in order of priority:</w:t>
            </w:r>
          </w:p>
        </w:tc>
      </w:tr>
      <w:tr w:rsidR="000D5FD4" w:rsidRPr="009A5868" w14:paraId="4A0DB7F5" w14:textId="77777777" w:rsidTr="00C27184">
        <w:trPr>
          <w:cantSplit/>
        </w:trPr>
        <w:tc>
          <w:tcPr>
            <w:tcW w:w="675" w:type="dxa"/>
          </w:tcPr>
          <w:p w14:paraId="4A0DB7F3" w14:textId="77777777" w:rsidR="000D5FD4" w:rsidRPr="009A5868" w:rsidRDefault="000D5FD4" w:rsidP="000D5FD4">
            <w:pPr>
              <w:pStyle w:val="BMSBodyText"/>
            </w:pPr>
          </w:p>
        </w:tc>
        <w:tc>
          <w:tcPr>
            <w:tcW w:w="10030" w:type="dxa"/>
            <w:gridSpan w:val="3"/>
          </w:tcPr>
          <w:p w14:paraId="4A0DB7F4" w14:textId="77777777" w:rsidR="000D5FD4" w:rsidRDefault="00C27184" w:rsidP="000D5FD4">
            <w:pPr>
              <w:pStyle w:val="BMSBodyText"/>
              <w:numPr>
                <w:ilvl w:val="0"/>
                <w:numId w:val="15"/>
              </w:numPr>
              <w:rPr>
                <w:rFonts w:cstheme="minorHAnsi"/>
              </w:rPr>
            </w:pPr>
            <w:r w:rsidRPr="00C27184">
              <w:rPr>
                <w:rFonts w:cstheme="minorHAnsi"/>
              </w:rPr>
              <w:t>Consider the use of alternative technologies and working practices that avoid exposure to vibration</w:t>
            </w:r>
          </w:p>
        </w:tc>
      </w:tr>
      <w:tr w:rsidR="000D5FD4" w:rsidRPr="009A5868" w14:paraId="4A0DB7F8" w14:textId="77777777" w:rsidTr="00C27184">
        <w:trPr>
          <w:cantSplit/>
        </w:trPr>
        <w:tc>
          <w:tcPr>
            <w:tcW w:w="675" w:type="dxa"/>
          </w:tcPr>
          <w:p w14:paraId="4A0DB7F6" w14:textId="77777777" w:rsidR="000D5FD4" w:rsidRPr="009A5868" w:rsidRDefault="000D5FD4" w:rsidP="000D5FD4">
            <w:pPr>
              <w:pStyle w:val="BMSBodyText"/>
            </w:pPr>
          </w:p>
        </w:tc>
        <w:tc>
          <w:tcPr>
            <w:tcW w:w="10030" w:type="dxa"/>
            <w:gridSpan w:val="3"/>
          </w:tcPr>
          <w:p w14:paraId="4A0DB7F7" w14:textId="010CB68F" w:rsidR="000D5FD4" w:rsidRDefault="002F6314" w:rsidP="002F6314">
            <w:pPr>
              <w:pStyle w:val="BMSBodyText"/>
              <w:numPr>
                <w:ilvl w:val="0"/>
                <w:numId w:val="15"/>
              </w:numPr>
              <w:rPr>
                <w:rFonts w:cstheme="minorHAnsi"/>
              </w:rPr>
            </w:pPr>
            <w:r w:rsidRPr="002F6314">
              <w:rPr>
                <w:rFonts w:cstheme="minorHAnsi"/>
              </w:rPr>
              <w:t xml:space="preserve">Where exposure cannot be avoided, ensure tools are selected that minimise potential for </w:t>
            </w:r>
            <w:r w:rsidR="00DA46B3" w:rsidRPr="002F6314">
              <w:rPr>
                <w:rFonts w:cstheme="minorHAnsi"/>
              </w:rPr>
              <w:t>exposure-based</w:t>
            </w:r>
            <w:r w:rsidRPr="002F6314">
              <w:rPr>
                <w:rFonts w:cstheme="minorHAnsi"/>
              </w:rPr>
              <w:t xml:space="preserve"> vibration magnitude data and suitability for the task with good ergonomic design</w:t>
            </w:r>
          </w:p>
        </w:tc>
      </w:tr>
      <w:tr w:rsidR="000D5FD4" w:rsidRPr="009A5868" w14:paraId="4A0DB7FB" w14:textId="77777777" w:rsidTr="00C27184">
        <w:trPr>
          <w:cantSplit/>
        </w:trPr>
        <w:tc>
          <w:tcPr>
            <w:tcW w:w="675" w:type="dxa"/>
          </w:tcPr>
          <w:p w14:paraId="4A0DB7F9" w14:textId="77777777" w:rsidR="000D5FD4" w:rsidRPr="009A5868" w:rsidRDefault="000D5FD4" w:rsidP="000D5FD4">
            <w:pPr>
              <w:pStyle w:val="BMSBodyText"/>
            </w:pPr>
          </w:p>
        </w:tc>
        <w:tc>
          <w:tcPr>
            <w:tcW w:w="10030" w:type="dxa"/>
            <w:gridSpan w:val="3"/>
          </w:tcPr>
          <w:p w14:paraId="4A0DB7FA" w14:textId="77777777" w:rsidR="000D5FD4" w:rsidRPr="000D5FD4" w:rsidRDefault="00C27184" w:rsidP="00DD1EF1">
            <w:pPr>
              <w:pStyle w:val="BMSBodyText"/>
              <w:numPr>
                <w:ilvl w:val="0"/>
                <w:numId w:val="15"/>
              </w:numPr>
              <w:rPr>
                <w:rFonts w:cstheme="minorHAnsi"/>
              </w:rPr>
            </w:pPr>
            <w:r w:rsidRPr="00C27184">
              <w:rPr>
                <w:rFonts w:cstheme="minorHAnsi"/>
              </w:rPr>
              <w:t>The Site Lead must ensure that all reasonably practicable measures to avoid or reduce exposure are considered and implemented.  As a last resort, where exposures cannot be reduced below the EAV, job rotation to restrict trigger time may be used to mitigate risk to health.</w:t>
            </w:r>
          </w:p>
        </w:tc>
      </w:tr>
      <w:tr w:rsidR="005137D2" w:rsidRPr="009A5868" w14:paraId="4A0DB7FE" w14:textId="77777777" w:rsidTr="00C27184">
        <w:trPr>
          <w:cantSplit/>
        </w:trPr>
        <w:tc>
          <w:tcPr>
            <w:tcW w:w="675" w:type="dxa"/>
          </w:tcPr>
          <w:p w14:paraId="4A0DB7FC" w14:textId="77777777" w:rsidR="005137D2" w:rsidRPr="009A5868" w:rsidRDefault="005137D2" w:rsidP="005A33B4">
            <w:pPr>
              <w:pStyle w:val="BMSBodyText"/>
              <w:numPr>
                <w:ilvl w:val="1"/>
                <w:numId w:val="9"/>
              </w:numPr>
            </w:pPr>
          </w:p>
        </w:tc>
        <w:tc>
          <w:tcPr>
            <w:tcW w:w="10030" w:type="dxa"/>
            <w:gridSpan w:val="3"/>
          </w:tcPr>
          <w:p w14:paraId="4A0DB7FD" w14:textId="77777777" w:rsidR="005137D2" w:rsidRPr="005137D2" w:rsidRDefault="005137D2" w:rsidP="00693F7C">
            <w:pPr>
              <w:pStyle w:val="BMSBodyText"/>
              <w:rPr>
                <w:rFonts w:eastAsiaTheme="minorHAnsi"/>
                <w:lang w:val="en-US"/>
              </w:rPr>
            </w:pPr>
            <w:r>
              <w:rPr>
                <w:lang w:val="en-US"/>
              </w:rPr>
              <w:t>The Site Lead should undertake an assessment of potential vibration exposure levels using the HSE Ready Reckoner / Calculator for each individual task. If more than one task is being completed in a working day, the assessment should combine the number of points from each task to identify potential daily exposure. The Ready Reckoner will require the following information:</w:t>
            </w:r>
          </w:p>
        </w:tc>
      </w:tr>
      <w:tr w:rsidR="005137D2" w:rsidRPr="009A5868" w14:paraId="4A0DB802" w14:textId="77777777" w:rsidTr="00C27184">
        <w:trPr>
          <w:cantSplit/>
        </w:trPr>
        <w:tc>
          <w:tcPr>
            <w:tcW w:w="675" w:type="dxa"/>
          </w:tcPr>
          <w:p w14:paraId="4A0DB7FF" w14:textId="77777777" w:rsidR="005137D2" w:rsidRPr="009A5868" w:rsidRDefault="005137D2" w:rsidP="005A33B4">
            <w:pPr>
              <w:pStyle w:val="BMSBodyText"/>
            </w:pPr>
          </w:p>
        </w:tc>
        <w:tc>
          <w:tcPr>
            <w:tcW w:w="10030" w:type="dxa"/>
            <w:gridSpan w:val="3"/>
          </w:tcPr>
          <w:p w14:paraId="4A0DB800" w14:textId="77777777" w:rsidR="005137D2" w:rsidRDefault="005137D2" w:rsidP="005137D2">
            <w:pPr>
              <w:pStyle w:val="BMSBodyText"/>
              <w:numPr>
                <w:ilvl w:val="0"/>
                <w:numId w:val="10"/>
              </w:numPr>
              <w:rPr>
                <w:lang w:val="en-US"/>
              </w:rPr>
            </w:pPr>
            <w:r>
              <w:rPr>
                <w:lang w:val="en-US"/>
              </w:rPr>
              <w:t>Vibration magnitude of each vibrating tool to be used</w:t>
            </w:r>
          </w:p>
          <w:p w14:paraId="4A0DB801" w14:textId="77777777" w:rsidR="005137D2" w:rsidRPr="005137D2" w:rsidRDefault="005137D2" w:rsidP="005137D2">
            <w:pPr>
              <w:pStyle w:val="BMSBodyText"/>
              <w:numPr>
                <w:ilvl w:val="0"/>
                <w:numId w:val="10"/>
              </w:numPr>
              <w:rPr>
                <w:lang w:val="en-US"/>
              </w:rPr>
            </w:pPr>
            <w:r>
              <w:rPr>
                <w:lang w:val="en-US"/>
              </w:rPr>
              <w:t>The duration and frequency of exposure</w:t>
            </w:r>
          </w:p>
        </w:tc>
      </w:tr>
      <w:tr w:rsidR="005137D2" w:rsidRPr="009A5868" w14:paraId="4A0DB805" w14:textId="77777777" w:rsidTr="00C27184">
        <w:trPr>
          <w:cantSplit/>
        </w:trPr>
        <w:tc>
          <w:tcPr>
            <w:tcW w:w="675" w:type="dxa"/>
          </w:tcPr>
          <w:p w14:paraId="4A0DB803" w14:textId="77777777" w:rsidR="005137D2" w:rsidRPr="009A5868" w:rsidRDefault="005137D2" w:rsidP="00022902">
            <w:pPr>
              <w:pStyle w:val="BMSBodyText"/>
              <w:numPr>
                <w:ilvl w:val="1"/>
                <w:numId w:val="9"/>
              </w:numPr>
            </w:pPr>
          </w:p>
        </w:tc>
        <w:tc>
          <w:tcPr>
            <w:tcW w:w="10030" w:type="dxa"/>
            <w:gridSpan w:val="3"/>
          </w:tcPr>
          <w:p w14:paraId="4A0DB804" w14:textId="5771B082" w:rsidR="005137D2" w:rsidRPr="000A0079" w:rsidRDefault="005137D2" w:rsidP="00022902">
            <w:pPr>
              <w:pStyle w:val="BMSBodyText"/>
              <w:rPr>
                <w:rFonts w:cstheme="minorHAnsi"/>
              </w:rPr>
            </w:pPr>
            <w:r>
              <w:rPr>
                <w:lang w:val="en-US"/>
              </w:rPr>
              <w:t xml:space="preserve">Vibration magnitude values may be obtained from a variety of sources including manufacturers and suppliers, but it is important to select values that are representative of actual work activities so as not to underestimate potential exposures. </w:t>
            </w:r>
            <w:r w:rsidR="00DA46B3">
              <w:rPr>
                <w:lang w:val="en-US"/>
              </w:rPr>
              <w:t>Manufacturer’s data</w:t>
            </w:r>
            <w:r>
              <w:rPr>
                <w:lang w:val="en-US"/>
              </w:rPr>
              <w:t xml:space="preserve"> may be out of date or may have been collected during non-working conditions so actual exposures during work activities are likely to be higher. Confidence in the quality of the vibration magnitude data is increased if data is obtained from at least two sources. You can use the ‘recommended initial values’ for each specified tool as quoted in the updated version of Table 1 of the HSE guidance L140 as this represents vibration magnitudes in the upper part of the likely range. </w:t>
            </w:r>
            <w:hyperlink r:id="rId15" w:history="1">
              <w:r>
                <w:rPr>
                  <w:rStyle w:val="Hyperlink"/>
                  <w:lang w:val="en-US"/>
                </w:rPr>
                <w:t>http://www.hse.gov.uk/vibration/hav/source-vibration-magnitude-app3.pdf</w:t>
              </w:r>
            </w:hyperlink>
            <w:r>
              <w:rPr>
                <w:color w:val="1F497D"/>
                <w:lang w:val="en-US"/>
              </w:rPr>
              <w:t>].</w:t>
            </w:r>
          </w:p>
        </w:tc>
      </w:tr>
      <w:tr w:rsidR="005137D2" w:rsidRPr="009A5868" w14:paraId="4A0DB808" w14:textId="77777777" w:rsidTr="00C27184">
        <w:trPr>
          <w:cantSplit/>
        </w:trPr>
        <w:tc>
          <w:tcPr>
            <w:tcW w:w="675" w:type="dxa"/>
          </w:tcPr>
          <w:p w14:paraId="4A0DB806" w14:textId="77777777" w:rsidR="005137D2" w:rsidRPr="009A5868" w:rsidRDefault="005137D2" w:rsidP="005A33B4">
            <w:pPr>
              <w:pStyle w:val="BMSBodyText"/>
            </w:pPr>
          </w:p>
        </w:tc>
        <w:tc>
          <w:tcPr>
            <w:tcW w:w="10030" w:type="dxa"/>
            <w:gridSpan w:val="3"/>
          </w:tcPr>
          <w:p w14:paraId="4A0DB807" w14:textId="77777777" w:rsidR="005137D2" w:rsidRDefault="00623598" w:rsidP="000D5FD4">
            <w:pPr>
              <w:pStyle w:val="BMSBodyText"/>
              <w:numPr>
                <w:ilvl w:val="1"/>
                <w:numId w:val="14"/>
              </w:numPr>
              <w:rPr>
                <w:rFonts w:cstheme="minorHAnsi"/>
              </w:rPr>
            </w:pPr>
            <w:hyperlink r:id="rId16" w:history="1">
              <w:r w:rsidR="005137D2" w:rsidRPr="00CA13F4">
                <w:rPr>
                  <w:rStyle w:val="Hyperlink"/>
                  <w:rFonts w:cstheme="minorHAnsi"/>
                </w:rPr>
                <w:t>https://www.hilti.co.uk/havs</w:t>
              </w:r>
            </w:hyperlink>
            <w:r w:rsidR="005137D2">
              <w:rPr>
                <w:rFonts w:cstheme="minorHAnsi"/>
              </w:rPr>
              <w:t xml:space="preserve"> </w:t>
            </w:r>
          </w:p>
        </w:tc>
      </w:tr>
      <w:tr w:rsidR="005137D2" w:rsidRPr="009A5868" w14:paraId="4A0DB80B" w14:textId="77777777" w:rsidTr="00C27184">
        <w:trPr>
          <w:cantSplit/>
        </w:trPr>
        <w:tc>
          <w:tcPr>
            <w:tcW w:w="675" w:type="dxa"/>
          </w:tcPr>
          <w:p w14:paraId="4A0DB809" w14:textId="77777777" w:rsidR="005137D2" w:rsidRPr="009A5868" w:rsidRDefault="005137D2" w:rsidP="005A33B4">
            <w:pPr>
              <w:pStyle w:val="BMSBodyText"/>
            </w:pPr>
          </w:p>
        </w:tc>
        <w:tc>
          <w:tcPr>
            <w:tcW w:w="10030" w:type="dxa"/>
            <w:gridSpan w:val="3"/>
          </w:tcPr>
          <w:p w14:paraId="4A0DB80A" w14:textId="77777777" w:rsidR="00C27184" w:rsidRDefault="00623598" w:rsidP="00C27184">
            <w:pPr>
              <w:pStyle w:val="BMSBodyText"/>
              <w:numPr>
                <w:ilvl w:val="1"/>
                <w:numId w:val="14"/>
              </w:numPr>
            </w:pPr>
            <w:hyperlink r:id="rId17" w:history="1">
              <w:r w:rsidR="00C27184" w:rsidRPr="00CB67F1">
                <w:rPr>
                  <w:rStyle w:val="Hyperlink"/>
                </w:rPr>
                <w:t>https://www.speedyservices.com/uploads/file/93ea0e1aa720457c850b734acf5be9f6/A1-Reckoner-Poster.pdf</w:t>
              </w:r>
            </w:hyperlink>
            <w:r w:rsidR="00C27184">
              <w:br/>
            </w:r>
          </w:p>
        </w:tc>
      </w:tr>
      <w:tr w:rsidR="005137D2" w:rsidRPr="009A5868" w14:paraId="4A0DB811" w14:textId="77777777" w:rsidTr="00C27184">
        <w:trPr>
          <w:cantSplit/>
        </w:trPr>
        <w:tc>
          <w:tcPr>
            <w:tcW w:w="675" w:type="dxa"/>
          </w:tcPr>
          <w:p w14:paraId="4A0DB80C" w14:textId="77777777" w:rsidR="005137D2" w:rsidRPr="009A5868" w:rsidRDefault="005137D2" w:rsidP="005A33B4">
            <w:pPr>
              <w:pStyle w:val="BMSBodyText"/>
              <w:numPr>
                <w:ilvl w:val="1"/>
                <w:numId w:val="9"/>
              </w:numPr>
            </w:pPr>
          </w:p>
        </w:tc>
        <w:tc>
          <w:tcPr>
            <w:tcW w:w="4151" w:type="dxa"/>
            <w:gridSpan w:val="2"/>
          </w:tcPr>
          <w:p w14:paraId="4A0DB80D" w14:textId="77777777" w:rsidR="005137D2" w:rsidRDefault="005137D2" w:rsidP="005A33B4">
            <w:pPr>
              <w:pStyle w:val="BMSBodyText"/>
              <w:rPr>
                <w:rFonts w:cstheme="minorHAnsi"/>
                <w:b/>
              </w:rPr>
            </w:pPr>
            <w:r>
              <w:rPr>
                <w:rFonts w:cstheme="minorHAnsi"/>
                <w:b/>
              </w:rPr>
              <w:t xml:space="preserve">Exposure Level below 100 Points </w:t>
            </w:r>
          </w:p>
          <w:p w14:paraId="4A0DB80E" w14:textId="2DB89FA5" w:rsidR="005137D2" w:rsidRDefault="005137D2" w:rsidP="00C4736C">
            <w:pPr>
              <w:pStyle w:val="BMSBodyText"/>
              <w:rPr>
                <w:rFonts w:cstheme="minorHAnsi"/>
              </w:rPr>
            </w:pPr>
            <w:r>
              <w:rPr>
                <w:rFonts w:cstheme="minorHAnsi"/>
              </w:rPr>
              <w:t xml:space="preserve">If the Exposure Level derived from this assessment falls below 100 points per individual the task may commence in accordance with the risk assessment and Safe System of Work. Using an ATPMS may </w:t>
            </w:r>
            <w:del w:id="1" w:author="Simon Cooling" w:date="2018-09-06T13:17:00Z">
              <w:r w:rsidDel="00290C81">
                <w:rPr>
                  <w:rFonts w:cstheme="minorHAnsi"/>
                </w:rPr>
                <w:delText xml:space="preserve"> </w:delText>
              </w:r>
            </w:del>
            <w:r>
              <w:rPr>
                <w:rFonts w:cstheme="minorHAnsi"/>
              </w:rPr>
              <w:t xml:space="preserve">provide useful information about likely exposure in complex situations or where exposure level is difficult to </w:t>
            </w:r>
            <w:r w:rsidR="00DA46B3">
              <w:rPr>
                <w:rFonts w:cstheme="minorHAnsi"/>
              </w:rPr>
              <w:t>predict but</w:t>
            </w:r>
            <w:r>
              <w:rPr>
                <w:rFonts w:cstheme="minorHAnsi"/>
              </w:rPr>
              <w:t xml:space="preserve"> must be authorised by the Project Lead.</w:t>
            </w:r>
          </w:p>
        </w:tc>
        <w:tc>
          <w:tcPr>
            <w:tcW w:w="5879" w:type="dxa"/>
          </w:tcPr>
          <w:p w14:paraId="4A0DB80F" w14:textId="77777777" w:rsidR="005137D2" w:rsidRDefault="005137D2" w:rsidP="005A33B4">
            <w:pPr>
              <w:pStyle w:val="BMSBodyText"/>
              <w:rPr>
                <w:rFonts w:cstheme="minorHAnsi"/>
              </w:rPr>
            </w:pPr>
            <w:r>
              <w:rPr>
                <w:rFonts w:cstheme="minorHAnsi"/>
                <w:b/>
              </w:rPr>
              <w:t>Exposure Level g</w:t>
            </w:r>
            <w:r w:rsidRPr="00255BF5">
              <w:rPr>
                <w:rFonts w:cstheme="minorHAnsi"/>
                <w:b/>
              </w:rPr>
              <w:t>reater than 100 points</w:t>
            </w:r>
          </w:p>
          <w:p w14:paraId="4A0DB810" w14:textId="6FB0A3E1" w:rsidR="005137D2" w:rsidRDefault="005137D2" w:rsidP="00C4736C">
            <w:pPr>
              <w:pStyle w:val="BMSBodyText"/>
              <w:rPr>
                <w:rFonts w:cstheme="minorHAnsi"/>
              </w:rPr>
            </w:pPr>
            <w:r>
              <w:rPr>
                <w:rFonts w:cstheme="minorHAnsi"/>
              </w:rPr>
              <w:t xml:space="preserve">If the Exposure Level is above 100 points per individual undertaking the task, the works must be re-planned with additional resources, changing the process and/or selecting alternative equipment.  The task must then be reassessed using the HAV risk assessment form and the new exposure level determined. If the exposure level now falls below 100 points per individual the task may commence in accordance with the Safe System of Work.  </w:t>
            </w:r>
            <w:r w:rsidR="00DA46B3">
              <w:rPr>
                <w:rFonts w:cstheme="minorHAnsi"/>
              </w:rPr>
              <w:t>If,</w:t>
            </w:r>
            <w:r>
              <w:rPr>
                <w:rFonts w:cstheme="minorHAnsi"/>
              </w:rPr>
              <w:t xml:space="preserve"> however the level remains above 100 points (after at least one additional iteration of the risk assessment process), a Safe System of Work must be implemented including adoption of an ATPMS to monitor exposure levels. The use of </w:t>
            </w:r>
            <w:r w:rsidR="00DA46B3">
              <w:rPr>
                <w:rFonts w:cstheme="minorHAnsi"/>
              </w:rPr>
              <w:t>an</w:t>
            </w:r>
            <w:r>
              <w:rPr>
                <w:rFonts w:cstheme="minorHAnsi"/>
              </w:rPr>
              <w:t xml:space="preserve"> ATPMS where vibration cannot be reduced requires authorisation by the project lead using the HAV control risk assessment.</w:t>
            </w:r>
          </w:p>
        </w:tc>
      </w:tr>
      <w:tr w:rsidR="005137D2" w:rsidRPr="009A5868" w14:paraId="4A0DB814" w14:textId="77777777" w:rsidTr="00C27184">
        <w:trPr>
          <w:cantSplit/>
        </w:trPr>
        <w:tc>
          <w:tcPr>
            <w:tcW w:w="675" w:type="dxa"/>
          </w:tcPr>
          <w:p w14:paraId="4A0DB812" w14:textId="77777777" w:rsidR="005137D2" w:rsidRPr="009A5868" w:rsidRDefault="005137D2" w:rsidP="005A33B4">
            <w:pPr>
              <w:pStyle w:val="BMSBodyText"/>
              <w:numPr>
                <w:ilvl w:val="1"/>
                <w:numId w:val="9"/>
              </w:numPr>
            </w:pPr>
          </w:p>
        </w:tc>
        <w:tc>
          <w:tcPr>
            <w:tcW w:w="10030" w:type="dxa"/>
            <w:gridSpan w:val="3"/>
          </w:tcPr>
          <w:p w14:paraId="4A0DB813" w14:textId="77777777" w:rsidR="005137D2" w:rsidRDefault="005137D2" w:rsidP="005A33B4">
            <w:pPr>
              <w:pStyle w:val="BMSBodyText"/>
              <w:rPr>
                <w:rFonts w:cstheme="minorHAnsi"/>
              </w:rPr>
            </w:pPr>
            <w:r>
              <w:rPr>
                <w:rFonts w:cstheme="minorHAnsi"/>
              </w:rPr>
              <w:t xml:space="preserve">The Site Lead should ensure that the risk control measures as defined in the Safe System of Work are implemented in full including: </w:t>
            </w:r>
          </w:p>
        </w:tc>
      </w:tr>
      <w:tr w:rsidR="005137D2" w:rsidRPr="009A5868" w14:paraId="4A0DB817" w14:textId="77777777" w:rsidTr="00C27184">
        <w:trPr>
          <w:cantSplit/>
        </w:trPr>
        <w:tc>
          <w:tcPr>
            <w:tcW w:w="675" w:type="dxa"/>
          </w:tcPr>
          <w:p w14:paraId="4A0DB815" w14:textId="77777777" w:rsidR="005137D2" w:rsidRPr="009A5868" w:rsidRDefault="005137D2" w:rsidP="005A33B4">
            <w:pPr>
              <w:pStyle w:val="BMSBodyText"/>
            </w:pPr>
          </w:p>
        </w:tc>
        <w:tc>
          <w:tcPr>
            <w:tcW w:w="10030" w:type="dxa"/>
            <w:gridSpan w:val="3"/>
          </w:tcPr>
          <w:p w14:paraId="4A0DB816" w14:textId="77777777" w:rsidR="005137D2" w:rsidRPr="00D07D98" w:rsidRDefault="005137D2" w:rsidP="00D07D98">
            <w:pPr>
              <w:pStyle w:val="BMSBodyText"/>
              <w:numPr>
                <w:ilvl w:val="0"/>
                <w:numId w:val="10"/>
              </w:numPr>
              <w:rPr>
                <w:rFonts w:cstheme="minorHAnsi"/>
              </w:rPr>
            </w:pPr>
            <w:r>
              <w:rPr>
                <w:rFonts w:cstheme="minorHAnsi"/>
              </w:rPr>
              <w:t>Use of plant/tools or work methods that avoid exposure.</w:t>
            </w:r>
          </w:p>
        </w:tc>
      </w:tr>
      <w:tr w:rsidR="005137D2" w:rsidRPr="009A5868" w14:paraId="4A0DB81A" w14:textId="77777777" w:rsidTr="00C27184">
        <w:trPr>
          <w:cantSplit/>
        </w:trPr>
        <w:tc>
          <w:tcPr>
            <w:tcW w:w="675" w:type="dxa"/>
          </w:tcPr>
          <w:p w14:paraId="4A0DB818" w14:textId="77777777" w:rsidR="005137D2" w:rsidRPr="009A5868" w:rsidRDefault="005137D2" w:rsidP="005A33B4">
            <w:pPr>
              <w:pStyle w:val="BMSBodyText"/>
            </w:pPr>
          </w:p>
        </w:tc>
        <w:tc>
          <w:tcPr>
            <w:tcW w:w="10030" w:type="dxa"/>
            <w:gridSpan w:val="3"/>
          </w:tcPr>
          <w:p w14:paraId="4A0DB819" w14:textId="77777777" w:rsidR="005137D2" w:rsidRDefault="005137D2" w:rsidP="00287F34">
            <w:pPr>
              <w:pStyle w:val="BMSBodyText"/>
              <w:numPr>
                <w:ilvl w:val="0"/>
                <w:numId w:val="10"/>
              </w:numPr>
              <w:rPr>
                <w:rFonts w:cstheme="minorHAnsi"/>
              </w:rPr>
            </w:pPr>
            <w:r>
              <w:rPr>
                <w:rFonts w:cstheme="minorHAnsi"/>
              </w:rPr>
              <w:t xml:space="preserve">Adherence to trigger time </w:t>
            </w:r>
            <w:r w:rsidRPr="00402A5D">
              <w:rPr>
                <w:rFonts w:cstheme="minorHAnsi"/>
              </w:rPr>
              <w:t>exposure</w:t>
            </w:r>
            <w:r>
              <w:rPr>
                <w:rFonts w:cstheme="minorHAnsi"/>
              </w:rPr>
              <w:t xml:space="preserve"> limits where exposure cannot be avoided.</w:t>
            </w:r>
          </w:p>
        </w:tc>
      </w:tr>
      <w:tr w:rsidR="005137D2" w:rsidRPr="009A5868" w14:paraId="4A0DB81D" w14:textId="77777777" w:rsidTr="00C27184">
        <w:trPr>
          <w:cantSplit/>
        </w:trPr>
        <w:tc>
          <w:tcPr>
            <w:tcW w:w="675" w:type="dxa"/>
          </w:tcPr>
          <w:p w14:paraId="4A0DB81B" w14:textId="77777777" w:rsidR="005137D2" w:rsidRPr="009A5868" w:rsidRDefault="005137D2" w:rsidP="005A33B4">
            <w:pPr>
              <w:pStyle w:val="BMSBodyText"/>
            </w:pPr>
          </w:p>
        </w:tc>
        <w:tc>
          <w:tcPr>
            <w:tcW w:w="10030" w:type="dxa"/>
            <w:gridSpan w:val="3"/>
          </w:tcPr>
          <w:p w14:paraId="4A0DB81C" w14:textId="77777777" w:rsidR="005137D2" w:rsidRPr="00402A5D" w:rsidRDefault="005137D2" w:rsidP="00287F34">
            <w:pPr>
              <w:pStyle w:val="BMSBodyText"/>
              <w:numPr>
                <w:ilvl w:val="0"/>
                <w:numId w:val="10"/>
              </w:numPr>
              <w:rPr>
                <w:rFonts w:cstheme="minorHAnsi"/>
              </w:rPr>
            </w:pPr>
            <w:r>
              <w:rPr>
                <w:rFonts w:cstheme="minorHAnsi"/>
              </w:rPr>
              <w:t>Measuring/</w:t>
            </w:r>
            <w:r w:rsidRPr="00402A5D">
              <w:rPr>
                <w:rFonts w:cstheme="minorHAnsi"/>
              </w:rPr>
              <w:t xml:space="preserve">logging </w:t>
            </w:r>
            <w:r>
              <w:rPr>
                <w:rFonts w:cstheme="minorHAnsi"/>
              </w:rPr>
              <w:t xml:space="preserve">trigger time </w:t>
            </w:r>
            <w:r w:rsidRPr="00402A5D">
              <w:rPr>
                <w:rFonts w:cstheme="minorHAnsi"/>
              </w:rPr>
              <w:t>exposure</w:t>
            </w:r>
            <w:r>
              <w:rPr>
                <w:rFonts w:cstheme="minorHAnsi"/>
              </w:rPr>
              <w:t xml:space="preserve"> where appropriate as identified in the risk assessment.</w:t>
            </w:r>
          </w:p>
        </w:tc>
      </w:tr>
      <w:tr w:rsidR="005137D2" w:rsidRPr="009A5868" w14:paraId="4A0DB820" w14:textId="77777777" w:rsidTr="00C27184">
        <w:trPr>
          <w:cantSplit/>
        </w:trPr>
        <w:tc>
          <w:tcPr>
            <w:tcW w:w="675" w:type="dxa"/>
          </w:tcPr>
          <w:p w14:paraId="4A0DB81E" w14:textId="77777777" w:rsidR="005137D2" w:rsidRPr="009A5868" w:rsidRDefault="005137D2" w:rsidP="005A33B4">
            <w:pPr>
              <w:pStyle w:val="BMSBodyText"/>
            </w:pPr>
          </w:p>
        </w:tc>
        <w:tc>
          <w:tcPr>
            <w:tcW w:w="10030" w:type="dxa"/>
            <w:gridSpan w:val="3"/>
          </w:tcPr>
          <w:p w14:paraId="4A0DB81F" w14:textId="77777777" w:rsidR="005137D2" w:rsidRPr="00402A5D" w:rsidRDefault="005137D2" w:rsidP="00D07D98">
            <w:pPr>
              <w:pStyle w:val="BMSBodyText"/>
              <w:numPr>
                <w:ilvl w:val="0"/>
                <w:numId w:val="10"/>
              </w:numPr>
              <w:rPr>
                <w:rFonts w:cstheme="minorHAnsi"/>
              </w:rPr>
            </w:pPr>
            <w:r>
              <w:rPr>
                <w:rFonts w:cstheme="minorHAnsi"/>
              </w:rPr>
              <w:t>Training and supervision of operatives to ensure the SSOW is followed.</w:t>
            </w:r>
          </w:p>
        </w:tc>
      </w:tr>
      <w:tr w:rsidR="005137D2" w:rsidRPr="009A5868" w14:paraId="4A0DB823" w14:textId="77777777" w:rsidTr="00C27184">
        <w:trPr>
          <w:cantSplit/>
        </w:trPr>
        <w:tc>
          <w:tcPr>
            <w:tcW w:w="675" w:type="dxa"/>
          </w:tcPr>
          <w:p w14:paraId="4A0DB821" w14:textId="77777777" w:rsidR="005137D2" w:rsidRPr="009A5868" w:rsidRDefault="005137D2" w:rsidP="005A33B4">
            <w:pPr>
              <w:pStyle w:val="BMSBodyText"/>
            </w:pPr>
          </w:p>
        </w:tc>
        <w:tc>
          <w:tcPr>
            <w:tcW w:w="10030" w:type="dxa"/>
            <w:gridSpan w:val="3"/>
          </w:tcPr>
          <w:p w14:paraId="4A0DB822" w14:textId="77777777" w:rsidR="005137D2" w:rsidRPr="00402A5D" w:rsidRDefault="005137D2" w:rsidP="00C86B46">
            <w:pPr>
              <w:pStyle w:val="BMSBodyText"/>
              <w:numPr>
                <w:ilvl w:val="0"/>
                <w:numId w:val="10"/>
              </w:numPr>
              <w:rPr>
                <w:rFonts w:cstheme="minorHAnsi"/>
              </w:rPr>
            </w:pPr>
            <w:r>
              <w:rPr>
                <w:rFonts w:cstheme="minorHAnsi"/>
              </w:rPr>
              <w:t>Maintenance of the work equipment to ensure optimum working condition with all cutting edges kept sharp.</w:t>
            </w:r>
          </w:p>
        </w:tc>
      </w:tr>
      <w:tr w:rsidR="005137D2" w:rsidRPr="009A5868" w14:paraId="4A0DB826" w14:textId="77777777" w:rsidTr="00C27184">
        <w:trPr>
          <w:cantSplit/>
        </w:trPr>
        <w:tc>
          <w:tcPr>
            <w:tcW w:w="675" w:type="dxa"/>
          </w:tcPr>
          <w:p w14:paraId="4A0DB824" w14:textId="77777777" w:rsidR="005137D2" w:rsidRPr="009A5868" w:rsidRDefault="005137D2" w:rsidP="005A33B4">
            <w:pPr>
              <w:pStyle w:val="BMSBodyText"/>
              <w:numPr>
                <w:ilvl w:val="1"/>
                <w:numId w:val="9"/>
              </w:numPr>
            </w:pPr>
          </w:p>
        </w:tc>
        <w:tc>
          <w:tcPr>
            <w:tcW w:w="10030" w:type="dxa"/>
            <w:gridSpan w:val="3"/>
          </w:tcPr>
          <w:p w14:paraId="4A0DB825" w14:textId="498F4D26" w:rsidR="005137D2" w:rsidRPr="00402A5D" w:rsidRDefault="005137D2" w:rsidP="00306BB0">
            <w:pPr>
              <w:pStyle w:val="BMSBodyText"/>
              <w:rPr>
                <w:rFonts w:cstheme="minorHAnsi"/>
              </w:rPr>
            </w:pPr>
            <w:r>
              <w:rPr>
                <w:rFonts w:cstheme="minorHAnsi"/>
              </w:rPr>
              <w:t xml:space="preserve">The Supervisor should give </w:t>
            </w:r>
            <w:r w:rsidR="00DA46B3">
              <w:rPr>
                <w:rFonts w:cstheme="minorHAnsi"/>
              </w:rPr>
              <w:t>sufficient</w:t>
            </w:r>
            <w:r>
              <w:rPr>
                <w:rFonts w:cstheme="minorHAnsi"/>
              </w:rPr>
              <w:t xml:space="preserve"> consideration in every Daily Activity Briefing to remind the workforce of the HAV exposure risk control measures as defined in the SSOW and to report any adverse symptoms.</w:t>
            </w:r>
          </w:p>
        </w:tc>
      </w:tr>
      <w:tr w:rsidR="005137D2" w:rsidRPr="009A5868" w14:paraId="4A0DB829" w14:textId="77777777" w:rsidTr="00C27184">
        <w:trPr>
          <w:cantSplit/>
        </w:trPr>
        <w:tc>
          <w:tcPr>
            <w:tcW w:w="675" w:type="dxa"/>
          </w:tcPr>
          <w:p w14:paraId="4A0DB827" w14:textId="77777777" w:rsidR="005137D2" w:rsidRPr="009A5868" w:rsidRDefault="005137D2" w:rsidP="005A33B4">
            <w:pPr>
              <w:pStyle w:val="BMSBodyText"/>
              <w:numPr>
                <w:ilvl w:val="1"/>
                <w:numId w:val="9"/>
              </w:numPr>
            </w:pPr>
          </w:p>
        </w:tc>
        <w:tc>
          <w:tcPr>
            <w:tcW w:w="10030" w:type="dxa"/>
            <w:gridSpan w:val="3"/>
          </w:tcPr>
          <w:p w14:paraId="4A0DB828" w14:textId="77777777" w:rsidR="005137D2" w:rsidRDefault="005137D2" w:rsidP="00904BFC">
            <w:pPr>
              <w:pStyle w:val="BMSBodyText"/>
              <w:rPr>
                <w:rFonts w:cstheme="minorHAnsi"/>
              </w:rPr>
            </w:pPr>
            <w:r>
              <w:rPr>
                <w:rFonts w:cstheme="minorHAnsi"/>
              </w:rPr>
              <w:t>The Safe System of Work will be reviewed when anything changes and at regular intervals thereafter in accordance with the Setting People to Work Safely procedure (</w:t>
            </w:r>
            <w:hyperlink r:id="rId18" w:history="1">
              <w:r w:rsidRPr="00904BFC">
                <w:rPr>
                  <w:rStyle w:val="Hyperlink"/>
                  <w:rFonts w:cstheme="minorHAnsi"/>
                </w:rPr>
                <w:t>HSES-PR-0011</w:t>
              </w:r>
            </w:hyperlink>
            <w:r>
              <w:rPr>
                <w:rFonts w:cstheme="minorHAnsi"/>
              </w:rPr>
              <w:t>).</w:t>
            </w:r>
          </w:p>
        </w:tc>
      </w:tr>
      <w:tr w:rsidR="005137D2" w:rsidRPr="009A5868" w14:paraId="4A0DB82C" w14:textId="77777777" w:rsidTr="00C27184">
        <w:trPr>
          <w:cantSplit/>
        </w:trPr>
        <w:tc>
          <w:tcPr>
            <w:tcW w:w="675" w:type="dxa"/>
          </w:tcPr>
          <w:p w14:paraId="4A0DB82A" w14:textId="77777777" w:rsidR="005137D2" w:rsidRPr="009A5868" w:rsidRDefault="005137D2" w:rsidP="0011104B">
            <w:pPr>
              <w:pStyle w:val="BMSBodyText"/>
              <w:keepNext/>
              <w:numPr>
                <w:ilvl w:val="0"/>
                <w:numId w:val="9"/>
              </w:numPr>
            </w:pPr>
          </w:p>
        </w:tc>
        <w:tc>
          <w:tcPr>
            <w:tcW w:w="10030" w:type="dxa"/>
            <w:gridSpan w:val="3"/>
          </w:tcPr>
          <w:p w14:paraId="4A0DB82B" w14:textId="77777777" w:rsidR="005137D2" w:rsidRPr="008C2EB8" w:rsidRDefault="005137D2" w:rsidP="0011104B">
            <w:pPr>
              <w:pStyle w:val="BMSBodyText"/>
              <w:keepNext/>
            </w:pPr>
            <w:r w:rsidRPr="008C2EB8">
              <w:rPr>
                <w:b/>
              </w:rPr>
              <w:t>ATPMS DETAILED REQUIREMENTS</w:t>
            </w:r>
          </w:p>
        </w:tc>
      </w:tr>
      <w:tr w:rsidR="005137D2" w:rsidRPr="009A5868" w14:paraId="4A0DB82F" w14:textId="77777777" w:rsidTr="00C27184">
        <w:trPr>
          <w:cantSplit/>
        </w:trPr>
        <w:tc>
          <w:tcPr>
            <w:tcW w:w="675" w:type="dxa"/>
          </w:tcPr>
          <w:p w14:paraId="4A0DB82D" w14:textId="77777777" w:rsidR="005137D2" w:rsidRPr="009A5868" w:rsidRDefault="005137D2" w:rsidP="005A33B4">
            <w:pPr>
              <w:pStyle w:val="BMSBodyText"/>
              <w:numPr>
                <w:ilvl w:val="1"/>
                <w:numId w:val="9"/>
              </w:numPr>
            </w:pPr>
          </w:p>
        </w:tc>
        <w:tc>
          <w:tcPr>
            <w:tcW w:w="10030" w:type="dxa"/>
            <w:gridSpan w:val="3"/>
          </w:tcPr>
          <w:p w14:paraId="4A0DB82E" w14:textId="57D9F5FC" w:rsidR="005137D2" w:rsidRPr="008A5E37" w:rsidRDefault="005137D2" w:rsidP="00A660BD">
            <w:pPr>
              <w:pStyle w:val="BMSBodyText"/>
              <w:rPr>
                <w:rFonts w:cstheme="minorHAnsi"/>
              </w:rPr>
            </w:pPr>
            <w:r>
              <w:rPr>
                <w:rFonts w:cstheme="minorHAnsi"/>
              </w:rPr>
              <w:t xml:space="preserve">The company approach is to utilise an ATPMS where the vibration control risk assessment indicates exposure is likely to routinely exceed 100 points or where an occupational health assessment indicates there is a risk to health necessitating restrictions on tool usage. If there is no occupational health </w:t>
            </w:r>
            <w:r w:rsidR="00DA46B3">
              <w:rPr>
                <w:rFonts w:cstheme="minorHAnsi"/>
              </w:rPr>
              <w:t>diagnosis,</w:t>
            </w:r>
            <w:r>
              <w:rPr>
                <w:rFonts w:cstheme="minorHAnsi"/>
              </w:rPr>
              <w:t xml:space="preserve"> then Site Lead must only give authorisation to use an </w:t>
            </w:r>
            <w:r w:rsidR="00DA46B3">
              <w:rPr>
                <w:rFonts w:cstheme="minorHAnsi"/>
              </w:rPr>
              <w:t>ATPMS if</w:t>
            </w:r>
            <w:r>
              <w:rPr>
                <w:rFonts w:cstheme="minorHAnsi"/>
              </w:rPr>
              <w:t xml:space="preserve"> he or she is satisfied that all options have been exhausted to reduce vibration levels below 100 points and that all supervisors and users are trained and competent in its use.</w:t>
            </w:r>
          </w:p>
        </w:tc>
      </w:tr>
      <w:tr w:rsidR="005137D2" w:rsidRPr="009A5868" w14:paraId="4A0DB832" w14:textId="77777777" w:rsidTr="00C27184">
        <w:trPr>
          <w:cantSplit/>
        </w:trPr>
        <w:tc>
          <w:tcPr>
            <w:tcW w:w="675" w:type="dxa"/>
          </w:tcPr>
          <w:p w14:paraId="4A0DB830" w14:textId="77777777" w:rsidR="005137D2" w:rsidRPr="009A5868" w:rsidRDefault="005137D2" w:rsidP="005A33B4">
            <w:pPr>
              <w:pStyle w:val="BMSBodyText"/>
              <w:numPr>
                <w:ilvl w:val="1"/>
                <w:numId w:val="9"/>
              </w:numPr>
            </w:pPr>
          </w:p>
        </w:tc>
        <w:tc>
          <w:tcPr>
            <w:tcW w:w="10030" w:type="dxa"/>
            <w:gridSpan w:val="3"/>
          </w:tcPr>
          <w:p w14:paraId="4A0DB831" w14:textId="77777777" w:rsidR="005137D2" w:rsidRDefault="005137D2" w:rsidP="00D52474">
            <w:pPr>
              <w:pStyle w:val="BMSBodyText"/>
              <w:rPr>
                <w:rFonts w:cstheme="minorHAnsi"/>
              </w:rPr>
            </w:pPr>
            <w:r w:rsidRPr="006A16C7">
              <w:rPr>
                <w:rFonts w:cstheme="minorHAnsi"/>
              </w:rPr>
              <w:t xml:space="preserve">The </w:t>
            </w:r>
            <w:r>
              <w:rPr>
                <w:rFonts w:cstheme="minorHAnsi"/>
              </w:rPr>
              <w:t xml:space="preserve">Site Lead </w:t>
            </w:r>
            <w:r w:rsidRPr="006A16C7">
              <w:rPr>
                <w:rFonts w:cstheme="minorHAnsi"/>
              </w:rPr>
              <w:t>must ensure that each named individual using the system is issued with a ‘</w:t>
            </w:r>
            <w:r>
              <w:rPr>
                <w:rFonts w:cstheme="minorHAnsi"/>
              </w:rPr>
              <w:t xml:space="preserve">ATPMS swipe </w:t>
            </w:r>
            <w:r w:rsidRPr="00D52474">
              <w:rPr>
                <w:rFonts w:cstheme="minorHAnsi"/>
              </w:rPr>
              <w:t xml:space="preserve">card’ </w:t>
            </w:r>
            <w:r w:rsidRPr="00657753">
              <w:rPr>
                <w:rFonts w:cstheme="minorHAnsi"/>
              </w:rPr>
              <w:t>(</w:t>
            </w:r>
            <w:hyperlink r:id="rId19" w:history="1">
              <w:r w:rsidRPr="00657753">
                <w:rPr>
                  <w:rStyle w:val="Hyperlink"/>
                  <w:rFonts w:cstheme="minorHAnsi"/>
                </w:rPr>
                <w:t>OPS-PR-244</w:t>
              </w:r>
            </w:hyperlink>
            <w:r w:rsidRPr="00657753">
              <w:rPr>
                <w:rFonts w:cstheme="minorHAnsi"/>
              </w:rPr>
              <w:t>)</w:t>
            </w:r>
            <w:r w:rsidRPr="00D52474">
              <w:rPr>
                <w:rFonts w:cstheme="minorHAnsi"/>
              </w:rPr>
              <w:t xml:space="preserve"> which</w:t>
            </w:r>
            <w:r w:rsidRPr="006A16C7">
              <w:rPr>
                <w:rFonts w:cstheme="minorHAnsi"/>
              </w:rPr>
              <w:t xml:space="preserve"> is programmed with the person’s personal det</w:t>
            </w:r>
            <w:r>
              <w:rPr>
                <w:rFonts w:cstheme="minorHAnsi"/>
              </w:rPr>
              <w:t xml:space="preserve">ails including a unique number and </w:t>
            </w:r>
            <w:r w:rsidRPr="006A16C7">
              <w:rPr>
                <w:rFonts w:cstheme="minorHAnsi"/>
              </w:rPr>
              <w:t xml:space="preserve">the individuals </w:t>
            </w:r>
            <w:r>
              <w:rPr>
                <w:rFonts w:cstheme="minorHAnsi"/>
              </w:rPr>
              <w:t xml:space="preserve">permitted </w:t>
            </w:r>
            <w:r w:rsidRPr="006A16C7">
              <w:rPr>
                <w:rFonts w:cstheme="minorHAnsi"/>
              </w:rPr>
              <w:t>vibration exposure levels (as defined by</w:t>
            </w:r>
            <w:r>
              <w:rPr>
                <w:rFonts w:cstheme="minorHAnsi"/>
              </w:rPr>
              <w:t xml:space="preserve"> this procedure / their individual HAVS Assessment</w:t>
            </w:r>
            <w:r w:rsidRPr="006A16C7">
              <w:rPr>
                <w:rFonts w:cstheme="minorHAnsi"/>
              </w:rPr>
              <w:t>)</w:t>
            </w:r>
            <w:r>
              <w:rPr>
                <w:rFonts w:cstheme="minorHAnsi"/>
              </w:rPr>
              <w:t>.</w:t>
            </w:r>
          </w:p>
        </w:tc>
      </w:tr>
      <w:tr w:rsidR="005137D2" w:rsidRPr="009A5868" w14:paraId="4A0DB835" w14:textId="77777777" w:rsidTr="00C27184">
        <w:trPr>
          <w:cantSplit/>
        </w:trPr>
        <w:tc>
          <w:tcPr>
            <w:tcW w:w="675" w:type="dxa"/>
          </w:tcPr>
          <w:p w14:paraId="4A0DB833" w14:textId="77777777" w:rsidR="005137D2" w:rsidRPr="009A5868" w:rsidRDefault="005137D2" w:rsidP="005A33B4">
            <w:pPr>
              <w:pStyle w:val="BMSBodyText"/>
              <w:numPr>
                <w:ilvl w:val="1"/>
                <w:numId w:val="9"/>
              </w:numPr>
            </w:pPr>
          </w:p>
        </w:tc>
        <w:tc>
          <w:tcPr>
            <w:tcW w:w="10030" w:type="dxa"/>
            <w:gridSpan w:val="3"/>
          </w:tcPr>
          <w:p w14:paraId="4A0DB834" w14:textId="77777777" w:rsidR="005137D2" w:rsidRPr="006A16C7" w:rsidRDefault="005137D2" w:rsidP="00D52474">
            <w:pPr>
              <w:pStyle w:val="BMSBodyText"/>
              <w:rPr>
                <w:rFonts w:cstheme="minorHAnsi"/>
              </w:rPr>
            </w:pPr>
            <w:r>
              <w:rPr>
                <w:rFonts w:cstheme="minorHAnsi"/>
              </w:rPr>
              <w:t>T</w:t>
            </w:r>
            <w:r w:rsidRPr="006A16C7">
              <w:rPr>
                <w:rFonts w:cstheme="minorHAnsi"/>
              </w:rPr>
              <w:t xml:space="preserve">he </w:t>
            </w:r>
            <w:r>
              <w:rPr>
                <w:rFonts w:cstheme="minorHAnsi"/>
              </w:rPr>
              <w:t xml:space="preserve">Site </w:t>
            </w:r>
            <w:r w:rsidRPr="006A16C7">
              <w:rPr>
                <w:rFonts w:cstheme="minorHAnsi"/>
              </w:rPr>
              <w:t xml:space="preserve">Lead </w:t>
            </w:r>
            <w:r>
              <w:rPr>
                <w:rFonts w:cstheme="minorHAnsi"/>
              </w:rPr>
              <w:t xml:space="preserve">must ensure the ATPMS data is obtained and reviewed on a regular basis to ensure that vibration exposure levels detailed within the Safe System of Work </w:t>
            </w:r>
            <w:r w:rsidRPr="006A16C7">
              <w:rPr>
                <w:rFonts w:cstheme="minorHAnsi"/>
              </w:rPr>
              <w:t>have not been exceeded</w:t>
            </w:r>
            <w:r>
              <w:rPr>
                <w:rFonts w:cstheme="minorHAnsi"/>
              </w:rPr>
              <w:t>.  Where excursions above the exposure levels are evident the Site Lead must instigate an investigation into the causes of the breach and reassess the effectiveness of the risk control measures for the works prior to recommencement.</w:t>
            </w:r>
          </w:p>
        </w:tc>
      </w:tr>
      <w:tr w:rsidR="005137D2" w:rsidRPr="009A5868" w14:paraId="4A0DB838" w14:textId="77777777" w:rsidTr="00C27184">
        <w:trPr>
          <w:cantSplit/>
        </w:trPr>
        <w:tc>
          <w:tcPr>
            <w:tcW w:w="675" w:type="dxa"/>
          </w:tcPr>
          <w:p w14:paraId="4A0DB836" w14:textId="77777777" w:rsidR="005137D2" w:rsidRPr="009A5868" w:rsidRDefault="005137D2" w:rsidP="00217CF5">
            <w:pPr>
              <w:pStyle w:val="BMSBodyText"/>
              <w:numPr>
                <w:ilvl w:val="1"/>
                <w:numId w:val="9"/>
              </w:numPr>
            </w:pPr>
          </w:p>
        </w:tc>
        <w:tc>
          <w:tcPr>
            <w:tcW w:w="10030" w:type="dxa"/>
            <w:gridSpan w:val="3"/>
          </w:tcPr>
          <w:p w14:paraId="4A0DB837" w14:textId="77777777" w:rsidR="005137D2" w:rsidRPr="00833403" w:rsidRDefault="005137D2" w:rsidP="00963DEF">
            <w:pPr>
              <w:pStyle w:val="BMSBodyText"/>
              <w:rPr>
                <w:rFonts w:cstheme="minorHAnsi"/>
                <w:highlight w:val="magenta"/>
              </w:rPr>
            </w:pPr>
            <w:r w:rsidRPr="008C2EB8">
              <w:rPr>
                <w:rFonts w:cstheme="minorHAnsi"/>
              </w:rPr>
              <w:t xml:space="preserve">The Site Lead is responsible for </w:t>
            </w:r>
            <w:r>
              <w:rPr>
                <w:rFonts w:cstheme="minorHAnsi"/>
              </w:rPr>
              <w:t>ensuring and monitoring implementation of these measures and for keeping auditable site records.</w:t>
            </w:r>
          </w:p>
        </w:tc>
      </w:tr>
      <w:tr w:rsidR="005137D2" w:rsidRPr="009A5868" w14:paraId="4A0DB83B" w14:textId="77777777" w:rsidTr="00C27184">
        <w:trPr>
          <w:cantSplit/>
        </w:trPr>
        <w:tc>
          <w:tcPr>
            <w:tcW w:w="675" w:type="dxa"/>
          </w:tcPr>
          <w:p w14:paraId="4A0DB839" w14:textId="77777777" w:rsidR="005137D2" w:rsidRPr="009A5868" w:rsidRDefault="005137D2" w:rsidP="005A33B4">
            <w:pPr>
              <w:pStyle w:val="BMSBodyText"/>
              <w:numPr>
                <w:ilvl w:val="1"/>
                <w:numId w:val="9"/>
              </w:numPr>
            </w:pPr>
          </w:p>
        </w:tc>
        <w:tc>
          <w:tcPr>
            <w:tcW w:w="10030" w:type="dxa"/>
            <w:gridSpan w:val="3"/>
          </w:tcPr>
          <w:p w14:paraId="4A0DB83A" w14:textId="77777777" w:rsidR="005137D2" w:rsidRDefault="005137D2" w:rsidP="00904BFC">
            <w:pPr>
              <w:pStyle w:val="BMSBodyText"/>
              <w:rPr>
                <w:rFonts w:cstheme="minorHAnsi"/>
              </w:rPr>
            </w:pPr>
            <w:r>
              <w:rPr>
                <w:rFonts w:cstheme="minorHAnsi"/>
              </w:rPr>
              <w:t>Any individual exceeding the Exposure Limit Value of 350 points must cease using vibrating tools with immediate effect until such time as an Occupational Health Incident Investigation has been carried out in accordance with the Incident Investigation and Reporting procedure (</w:t>
            </w:r>
            <w:hyperlink r:id="rId20" w:history="1">
              <w:r w:rsidRPr="00904BFC">
                <w:rPr>
                  <w:rStyle w:val="Hyperlink"/>
                  <w:rFonts w:cstheme="minorHAnsi"/>
                </w:rPr>
                <w:t>HSES-PR-0005</w:t>
              </w:r>
            </w:hyperlink>
            <w:r>
              <w:rPr>
                <w:rFonts w:cstheme="minorHAnsi"/>
              </w:rPr>
              <w:t>).</w:t>
            </w:r>
          </w:p>
        </w:tc>
      </w:tr>
      <w:tr w:rsidR="005137D2" w:rsidRPr="009A5868" w14:paraId="4A0DB83E" w14:textId="77777777" w:rsidTr="00C27184">
        <w:trPr>
          <w:cantSplit/>
        </w:trPr>
        <w:tc>
          <w:tcPr>
            <w:tcW w:w="675" w:type="dxa"/>
          </w:tcPr>
          <w:p w14:paraId="4A0DB83C" w14:textId="77777777" w:rsidR="005137D2" w:rsidRPr="009A5868" w:rsidRDefault="005137D2" w:rsidP="00160027">
            <w:pPr>
              <w:pStyle w:val="BMSBodyText"/>
              <w:keepNext/>
              <w:numPr>
                <w:ilvl w:val="0"/>
                <w:numId w:val="9"/>
              </w:numPr>
              <w:ind w:left="357" w:hanging="357"/>
            </w:pPr>
          </w:p>
        </w:tc>
        <w:tc>
          <w:tcPr>
            <w:tcW w:w="10030" w:type="dxa"/>
            <w:gridSpan w:val="3"/>
            <w:vAlign w:val="center"/>
          </w:tcPr>
          <w:p w14:paraId="4A0DB83D" w14:textId="77777777" w:rsidR="005137D2" w:rsidRDefault="005137D2" w:rsidP="00963DEF">
            <w:pPr>
              <w:pStyle w:val="BMSMainHeading"/>
              <w:jc w:val="left"/>
              <w:rPr>
                <w:rFonts w:cstheme="minorHAnsi"/>
              </w:rPr>
            </w:pPr>
            <w:r>
              <w:rPr>
                <w:rFonts w:cstheme="minorHAnsi"/>
              </w:rPr>
              <w:t>C</w:t>
            </w:r>
            <w:r w:rsidRPr="008A5E37">
              <w:rPr>
                <w:rFonts w:cstheme="minorHAnsi"/>
              </w:rPr>
              <w:t>ompetency, Training and Instruction</w:t>
            </w:r>
          </w:p>
        </w:tc>
      </w:tr>
      <w:tr w:rsidR="005137D2" w:rsidRPr="009A5868" w14:paraId="4A0DB841" w14:textId="77777777" w:rsidTr="00C27184">
        <w:trPr>
          <w:cantSplit/>
        </w:trPr>
        <w:tc>
          <w:tcPr>
            <w:tcW w:w="675" w:type="dxa"/>
          </w:tcPr>
          <w:p w14:paraId="4A0DB83F" w14:textId="77777777" w:rsidR="005137D2" w:rsidRPr="009A5868" w:rsidRDefault="005137D2" w:rsidP="005A33B4">
            <w:pPr>
              <w:pStyle w:val="BMSBodyText"/>
              <w:numPr>
                <w:ilvl w:val="1"/>
                <w:numId w:val="9"/>
              </w:numPr>
            </w:pPr>
          </w:p>
        </w:tc>
        <w:tc>
          <w:tcPr>
            <w:tcW w:w="10030" w:type="dxa"/>
            <w:gridSpan w:val="3"/>
          </w:tcPr>
          <w:p w14:paraId="4A0DB840" w14:textId="77777777" w:rsidR="005137D2" w:rsidRPr="008A5E37" w:rsidRDefault="005137D2" w:rsidP="005A33B4">
            <w:pPr>
              <w:pStyle w:val="BMSBodyText"/>
              <w:rPr>
                <w:rFonts w:cstheme="minorHAnsi"/>
              </w:rPr>
            </w:pPr>
            <w:r>
              <w:rPr>
                <w:rFonts w:cstheme="minorHAnsi"/>
              </w:rPr>
              <w:t xml:space="preserve">The Site Lead and/or person responsible for implementing this procedure must have successfully completed the following:  </w:t>
            </w:r>
          </w:p>
        </w:tc>
      </w:tr>
      <w:tr w:rsidR="005137D2" w:rsidRPr="009A5868" w14:paraId="4A0DB844" w14:textId="77777777" w:rsidTr="00C27184">
        <w:trPr>
          <w:cantSplit/>
        </w:trPr>
        <w:tc>
          <w:tcPr>
            <w:tcW w:w="675" w:type="dxa"/>
          </w:tcPr>
          <w:p w14:paraId="4A0DB842" w14:textId="77777777" w:rsidR="005137D2" w:rsidRPr="009A5868" w:rsidRDefault="005137D2" w:rsidP="005A33B4">
            <w:pPr>
              <w:pStyle w:val="BMSBodyText"/>
            </w:pPr>
          </w:p>
        </w:tc>
        <w:tc>
          <w:tcPr>
            <w:tcW w:w="10030" w:type="dxa"/>
            <w:gridSpan w:val="3"/>
          </w:tcPr>
          <w:p w14:paraId="4A0DB843" w14:textId="77777777" w:rsidR="005137D2" w:rsidRDefault="005137D2" w:rsidP="00963DEF">
            <w:pPr>
              <w:pStyle w:val="BMSBodyText"/>
              <w:numPr>
                <w:ilvl w:val="0"/>
                <w:numId w:val="13"/>
              </w:numPr>
              <w:rPr>
                <w:rFonts w:cstheme="minorHAnsi"/>
              </w:rPr>
            </w:pPr>
            <w:r>
              <w:rPr>
                <w:rFonts w:cstheme="minorHAnsi"/>
              </w:rPr>
              <w:t>Site Manager Safety Training Scheme (SMSTS) or company accepted equivalent.</w:t>
            </w:r>
          </w:p>
        </w:tc>
      </w:tr>
      <w:tr w:rsidR="005137D2" w:rsidRPr="009A5868" w14:paraId="4A0DB847" w14:textId="77777777" w:rsidTr="00C27184">
        <w:trPr>
          <w:cantSplit/>
        </w:trPr>
        <w:tc>
          <w:tcPr>
            <w:tcW w:w="675" w:type="dxa"/>
          </w:tcPr>
          <w:p w14:paraId="4A0DB845" w14:textId="77777777" w:rsidR="005137D2" w:rsidRPr="009A5868" w:rsidRDefault="005137D2" w:rsidP="005A33B4">
            <w:pPr>
              <w:pStyle w:val="BMSBodyText"/>
            </w:pPr>
          </w:p>
        </w:tc>
        <w:tc>
          <w:tcPr>
            <w:tcW w:w="10030" w:type="dxa"/>
            <w:gridSpan w:val="3"/>
          </w:tcPr>
          <w:p w14:paraId="4A0DB846" w14:textId="77777777" w:rsidR="005137D2" w:rsidRDefault="005137D2" w:rsidP="00904BFC">
            <w:pPr>
              <w:pStyle w:val="BMSBodyText"/>
              <w:numPr>
                <w:ilvl w:val="0"/>
                <w:numId w:val="13"/>
              </w:numPr>
              <w:rPr>
                <w:rFonts w:cstheme="minorHAnsi"/>
              </w:rPr>
            </w:pPr>
            <w:r>
              <w:rPr>
                <w:rFonts w:cstheme="minorHAnsi"/>
              </w:rPr>
              <w:t xml:space="preserve">Setting People to Work Internal Training Course (in accordance with </w:t>
            </w:r>
            <w:hyperlink r:id="rId21" w:history="1">
              <w:r w:rsidRPr="00904BFC">
                <w:rPr>
                  <w:rStyle w:val="Hyperlink"/>
                  <w:rFonts w:cstheme="minorHAnsi"/>
                </w:rPr>
                <w:t>HSES-PR-0011</w:t>
              </w:r>
            </w:hyperlink>
            <w:r w:rsidRPr="00904BFC">
              <w:rPr>
                <w:rFonts w:cstheme="minorHAnsi"/>
              </w:rPr>
              <w:t xml:space="preserve"> </w:t>
            </w:r>
            <w:r>
              <w:rPr>
                <w:rFonts w:cstheme="minorHAnsi"/>
              </w:rPr>
              <w:t>Setting People to Work Safely).</w:t>
            </w:r>
          </w:p>
        </w:tc>
      </w:tr>
      <w:tr w:rsidR="005137D2" w:rsidRPr="009A5868" w14:paraId="4A0DB84A" w14:textId="77777777" w:rsidTr="00C27184">
        <w:trPr>
          <w:cantSplit/>
        </w:trPr>
        <w:tc>
          <w:tcPr>
            <w:tcW w:w="675" w:type="dxa"/>
          </w:tcPr>
          <w:p w14:paraId="4A0DB848" w14:textId="77777777" w:rsidR="005137D2" w:rsidRPr="009A5868" w:rsidRDefault="005137D2" w:rsidP="005A33B4">
            <w:pPr>
              <w:pStyle w:val="BMSBodyText"/>
            </w:pPr>
          </w:p>
        </w:tc>
        <w:tc>
          <w:tcPr>
            <w:tcW w:w="10030" w:type="dxa"/>
            <w:gridSpan w:val="3"/>
          </w:tcPr>
          <w:p w14:paraId="4A0DB849" w14:textId="77777777" w:rsidR="005137D2" w:rsidRDefault="005137D2" w:rsidP="00EE259D">
            <w:pPr>
              <w:pStyle w:val="BMSBodyText"/>
              <w:numPr>
                <w:ilvl w:val="0"/>
                <w:numId w:val="13"/>
              </w:numPr>
              <w:rPr>
                <w:rFonts w:cstheme="minorHAnsi"/>
              </w:rPr>
            </w:pPr>
            <w:r>
              <w:rPr>
                <w:rFonts w:cstheme="minorHAnsi"/>
              </w:rPr>
              <w:t>Hand-arm Vibration – Guide for Managers (</w:t>
            </w:r>
            <w:hyperlink r:id="rId22" w:history="1">
              <w:r w:rsidRPr="00513FDC">
                <w:rPr>
                  <w:rStyle w:val="Hyperlink"/>
                  <w:rFonts w:cstheme="minorHAnsi"/>
                </w:rPr>
                <w:t>HSF-RM-0060a</w:t>
              </w:r>
            </w:hyperlink>
            <w:r>
              <w:rPr>
                <w:rFonts w:cstheme="minorHAnsi"/>
              </w:rPr>
              <w:t xml:space="preserve">). </w:t>
            </w:r>
          </w:p>
        </w:tc>
      </w:tr>
      <w:tr w:rsidR="005137D2" w:rsidRPr="009A5868" w14:paraId="4A0DB84D" w14:textId="77777777" w:rsidTr="00C27184">
        <w:trPr>
          <w:cantSplit/>
        </w:trPr>
        <w:tc>
          <w:tcPr>
            <w:tcW w:w="675" w:type="dxa"/>
          </w:tcPr>
          <w:p w14:paraId="4A0DB84B" w14:textId="77777777" w:rsidR="005137D2" w:rsidRPr="009A5868" w:rsidRDefault="005137D2" w:rsidP="005A33B4">
            <w:pPr>
              <w:pStyle w:val="BMSBodyText"/>
            </w:pPr>
          </w:p>
        </w:tc>
        <w:tc>
          <w:tcPr>
            <w:tcW w:w="10030" w:type="dxa"/>
            <w:gridSpan w:val="3"/>
          </w:tcPr>
          <w:p w14:paraId="4A0DB84C" w14:textId="77777777" w:rsidR="005137D2" w:rsidRDefault="005137D2" w:rsidP="003B55CB">
            <w:pPr>
              <w:pStyle w:val="BMSBodyText"/>
              <w:numPr>
                <w:ilvl w:val="0"/>
                <w:numId w:val="13"/>
              </w:numPr>
              <w:rPr>
                <w:rFonts w:cstheme="minorHAnsi"/>
              </w:rPr>
            </w:pPr>
            <w:r>
              <w:rPr>
                <w:rFonts w:cstheme="minorHAnsi"/>
              </w:rPr>
              <w:t>ATMPS training where applicable.</w:t>
            </w:r>
          </w:p>
        </w:tc>
      </w:tr>
      <w:tr w:rsidR="005137D2" w:rsidRPr="009A5868" w14:paraId="4A0DB850" w14:textId="77777777" w:rsidTr="00C27184">
        <w:trPr>
          <w:cantSplit/>
        </w:trPr>
        <w:tc>
          <w:tcPr>
            <w:tcW w:w="675" w:type="dxa"/>
          </w:tcPr>
          <w:p w14:paraId="4A0DB84E" w14:textId="77777777" w:rsidR="005137D2" w:rsidRPr="009A5868" w:rsidRDefault="005137D2" w:rsidP="005A33B4">
            <w:pPr>
              <w:pStyle w:val="BMSBodyText"/>
              <w:numPr>
                <w:ilvl w:val="1"/>
                <w:numId w:val="9"/>
              </w:numPr>
            </w:pPr>
          </w:p>
        </w:tc>
        <w:tc>
          <w:tcPr>
            <w:tcW w:w="10030" w:type="dxa"/>
            <w:gridSpan w:val="3"/>
          </w:tcPr>
          <w:p w14:paraId="4A0DB84F" w14:textId="77777777" w:rsidR="005137D2" w:rsidRDefault="005137D2" w:rsidP="003B40CE">
            <w:pPr>
              <w:pStyle w:val="BMSBodyText"/>
              <w:rPr>
                <w:rFonts w:cstheme="minorHAnsi"/>
              </w:rPr>
            </w:pPr>
            <w:r w:rsidRPr="00AE6081">
              <w:rPr>
                <w:rFonts w:cstheme="minorHAnsi"/>
              </w:rPr>
              <w:t xml:space="preserve">All </w:t>
            </w:r>
            <w:r>
              <w:rPr>
                <w:rFonts w:cstheme="minorHAnsi"/>
              </w:rPr>
              <w:t>employees exposed to the risk of Hand Arm Vibration</w:t>
            </w:r>
            <w:r w:rsidRPr="00AE6081">
              <w:rPr>
                <w:rFonts w:cstheme="minorHAnsi"/>
              </w:rPr>
              <w:t xml:space="preserve"> </w:t>
            </w:r>
            <w:r>
              <w:rPr>
                <w:rFonts w:cstheme="minorHAnsi"/>
              </w:rPr>
              <w:t>must</w:t>
            </w:r>
            <w:r w:rsidRPr="00AE6081">
              <w:rPr>
                <w:rFonts w:cstheme="minorHAnsi"/>
              </w:rPr>
              <w:t xml:space="preserve"> receive</w:t>
            </w:r>
            <w:r>
              <w:rPr>
                <w:rFonts w:cstheme="minorHAnsi"/>
              </w:rPr>
              <w:t xml:space="preserve"> the Hand-arm Vibration – Guide for Operatives (</w:t>
            </w:r>
            <w:hyperlink r:id="rId23" w:history="1">
              <w:r w:rsidRPr="00513FDC">
                <w:rPr>
                  <w:rStyle w:val="Hyperlink"/>
                  <w:rFonts w:cstheme="minorHAnsi"/>
                </w:rPr>
                <w:t>HSF-RM-0060b</w:t>
              </w:r>
            </w:hyperlink>
            <w:r>
              <w:rPr>
                <w:rFonts w:cstheme="minorHAnsi"/>
              </w:rPr>
              <w:t>),</w:t>
            </w:r>
            <w:r w:rsidRPr="00AE6081">
              <w:rPr>
                <w:rFonts w:cstheme="minorHAnsi"/>
              </w:rPr>
              <w:t xml:space="preserve"> suitable information and training </w:t>
            </w:r>
            <w:r>
              <w:rPr>
                <w:rFonts w:cstheme="minorHAnsi"/>
              </w:rPr>
              <w:t>so they</w:t>
            </w:r>
            <w:r w:rsidRPr="00AE6081">
              <w:rPr>
                <w:rFonts w:cstheme="minorHAnsi"/>
              </w:rPr>
              <w:t xml:space="preserve"> understand the hazards associated with working with </w:t>
            </w:r>
            <w:r w:rsidRPr="008C2EB8">
              <w:rPr>
                <w:rFonts w:cstheme="minorHAnsi"/>
              </w:rPr>
              <w:t>hand held vibrating tools/</w:t>
            </w:r>
            <w:r w:rsidRPr="00AE6081">
              <w:rPr>
                <w:rFonts w:cstheme="minorHAnsi"/>
              </w:rPr>
              <w:t>equipment</w:t>
            </w:r>
            <w:r>
              <w:rPr>
                <w:rFonts w:cstheme="minorHAnsi"/>
              </w:rPr>
              <w:t xml:space="preserve"> and </w:t>
            </w:r>
            <w:r w:rsidRPr="00AE6081">
              <w:rPr>
                <w:rFonts w:cstheme="minorHAnsi"/>
              </w:rPr>
              <w:t xml:space="preserve"> </w:t>
            </w:r>
            <w:r>
              <w:rPr>
                <w:rFonts w:cstheme="minorHAnsi"/>
              </w:rPr>
              <w:t>how to use the selected controls.  Briefing Attendance Records must be maintained (</w:t>
            </w:r>
            <w:hyperlink r:id="rId24" w:history="1">
              <w:r w:rsidRPr="003B40CE">
                <w:rPr>
                  <w:rStyle w:val="Hyperlink"/>
                  <w:rFonts w:cstheme="minorHAnsi"/>
                </w:rPr>
                <w:t>HSES-SF-0011a</w:t>
              </w:r>
            </w:hyperlink>
            <w:r>
              <w:rPr>
                <w:rFonts w:cstheme="minorHAnsi"/>
              </w:rPr>
              <w:t>).</w:t>
            </w:r>
          </w:p>
        </w:tc>
      </w:tr>
      <w:tr w:rsidR="005137D2" w:rsidRPr="009A5868" w14:paraId="4A0DB854" w14:textId="77777777" w:rsidTr="00C27184">
        <w:trPr>
          <w:cantSplit/>
        </w:trPr>
        <w:tc>
          <w:tcPr>
            <w:tcW w:w="675" w:type="dxa"/>
          </w:tcPr>
          <w:p w14:paraId="4A0DB851" w14:textId="77777777" w:rsidR="005137D2" w:rsidRPr="009A5868" w:rsidRDefault="005137D2" w:rsidP="005A33B4">
            <w:pPr>
              <w:pStyle w:val="BMSBodyText"/>
              <w:numPr>
                <w:ilvl w:val="1"/>
                <w:numId w:val="9"/>
              </w:numPr>
            </w:pPr>
          </w:p>
        </w:tc>
        <w:tc>
          <w:tcPr>
            <w:tcW w:w="10030" w:type="dxa"/>
            <w:gridSpan w:val="3"/>
          </w:tcPr>
          <w:p w14:paraId="4A0DB852" w14:textId="77777777" w:rsidR="005137D2" w:rsidRDefault="005137D2" w:rsidP="005A33B4">
            <w:pPr>
              <w:pStyle w:val="BMSBodyText"/>
              <w:rPr>
                <w:rFonts w:cstheme="minorHAnsi"/>
              </w:rPr>
            </w:pPr>
            <w:r w:rsidRPr="00A457F7">
              <w:rPr>
                <w:rFonts w:cstheme="minorHAnsi"/>
              </w:rPr>
              <w:t>Individual employees will also receive specific guidance regarding trigger time limits to enable them to self-monitor their own daily exposure.</w:t>
            </w:r>
          </w:p>
          <w:p w14:paraId="4A0DB853" w14:textId="77777777" w:rsidR="005137D2" w:rsidRPr="00AE6081" w:rsidRDefault="005137D2" w:rsidP="001E0627">
            <w:pPr>
              <w:pStyle w:val="BMSBodyText"/>
              <w:rPr>
                <w:rFonts w:cstheme="minorHAnsi"/>
              </w:rPr>
            </w:pPr>
            <w:r>
              <w:rPr>
                <w:rFonts w:cstheme="minorHAnsi"/>
              </w:rPr>
              <w:t>Employees will be instructed on possible symptoms of HAVS and the need to report these to line management for escalation to Occupational Health Services without delay.</w:t>
            </w:r>
          </w:p>
        </w:tc>
      </w:tr>
      <w:tr w:rsidR="005137D2" w:rsidRPr="009A5868" w14:paraId="4A0DB857" w14:textId="77777777" w:rsidTr="00C27184">
        <w:trPr>
          <w:cantSplit/>
        </w:trPr>
        <w:tc>
          <w:tcPr>
            <w:tcW w:w="675" w:type="dxa"/>
          </w:tcPr>
          <w:p w14:paraId="4A0DB855" w14:textId="77777777" w:rsidR="005137D2" w:rsidRPr="009A5868" w:rsidRDefault="005137D2" w:rsidP="005A33B4">
            <w:pPr>
              <w:pStyle w:val="BMSBodyText"/>
              <w:numPr>
                <w:ilvl w:val="1"/>
                <w:numId w:val="9"/>
              </w:numPr>
            </w:pPr>
          </w:p>
        </w:tc>
        <w:tc>
          <w:tcPr>
            <w:tcW w:w="10030" w:type="dxa"/>
            <w:gridSpan w:val="3"/>
          </w:tcPr>
          <w:p w14:paraId="4A0DB856" w14:textId="77777777" w:rsidR="005137D2" w:rsidRPr="00A457F7" w:rsidRDefault="005137D2" w:rsidP="006C5B10">
            <w:pPr>
              <w:pStyle w:val="BMSBodyText"/>
              <w:rPr>
                <w:rFonts w:cstheme="minorHAnsi"/>
              </w:rPr>
            </w:pPr>
            <w:r>
              <w:rPr>
                <w:rFonts w:cstheme="minorHAnsi"/>
              </w:rPr>
              <w:t>Employees</w:t>
            </w:r>
            <w:r w:rsidRPr="00A457F7">
              <w:rPr>
                <w:rFonts w:cstheme="minorHAnsi"/>
              </w:rPr>
              <w:t xml:space="preserve"> </w:t>
            </w:r>
            <w:r>
              <w:rPr>
                <w:rFonts w:cstheme="minorHAnsi"/>
              </w:rPr>
              <w:t>will</w:t>
            </w:r>
            <w:r w:rsidRPr="00A457F7">
              <w:rPr>
                <w:rFonts w:cstheme="minorHAnsi"/>
              </w:rPr>
              <w:t xml:space="preserve"> be instructed on the correct action to be taken should it be discovered that their daily limits may be reached.</w:t>
            </w:r>
          </w:p>
        </w:tc>
      </w:tr>
      <w:tr w:rsidR="005137D2" w:rsidRPr="001808AB" w14:paraId="4A0DB85A" w14:textId="77777777" w:rsidTr="00C27184">
        <w:trPr>
          <w:cantSplit/>
        </w:trPr>
        <w:tc>
          <w:tcPr>
            <w:tcW w:w="675" w:type="dxa"/>
          </w:tcPr>
          <w:p w14:paraId="4A0DB858" w14:textId="77777777" w:rsidR="005137D2" w:rsidRPr="001808AB" w:rsidRDefault="005137D2" w:rsidP="006C5B10">
            <w:pPr>
              <w:pStyle w:val="BMSBodyText"/>
              <w:keepNext/>
              <w:numPr>
                <w:ilvl w:val="0"/>
                <w:numId w:val="9"/>
              </w:numPr>
              <w:rPr>
                <w:b/>
              </w:rPr>
            </w:pPr>
          </w:p>
        </w:tc>
        <w:tc>
          <w:tcPr>
            <w:tcW w:w="10030" w:type="dxa"/>
            <w:gridSpan w:val="3"/>
          </w:tcPr>
          <w:p w14:paraId="4A0DB859" w14:textId="77777777" w:rsidR="005137D2" w:rsidRPr="001808AB" w:rsidRDefault="005137D2" w:rsidP="006C5B10">
            <w:pPr>
              <w:pStyle w:val="BMSBodyText"/>
              <w:keepNext/>
              <w:rPr>
                <w:rFonts w:cstheme="minorHAnsi"/>
                <w:b/>
              </w:rPr>
            </w:pPr>
            <w:r w:rsidRPr="001808AB">
              <w:rPr>
                <w:rFonts w:cstheme="minorHAnsi"/>
                <w:b/>
              </w:rPr>
              <w:t>OCCUPATIONAL HEALTH</w:t>
            </w:r>
          </w:p>
        </w:tc>
      </w:tr>
      <w:tr w:rsidR="005137D2" w:rsidRPr="009A5868" w14:paraId="4A0DB85D" w14:textId="77777777" w:rsidTr="00C27184">
        <w:trPr>
          <w:cantSplit/>
        </w:trPr>
        <w:tc>
          <w:tcPr>
            <w:tcW w:w="675" w:type="dxa"/>
          </w:tcPr>
          <w:p w14:paraId="4A0DB85B" w14:textId="77777777" w:rsidR="005137D2" w:rsidRPr="009A5868" w:rsidRDefault="005137D2" w:rsidP="005A33B4">
            <w:pPr>
              <w:pStyle w:val="BMSBodyText"/>
              <w:numPr>
                <w:ilvl w:val="1"/>
                <w:numId w:val="9"/>
              </w:numPr>
            </w:pPr>
          </w:p>
        </w:tc>
        <w:tc>
          <w:tcPr>
            <w:tcW w:w="10030" w:type="dxa"/>
            <w:gridSpan w:val="3"/>
          </w:tcPr>
          <w:p w14:paraId="4A0DB85C" w14:textId="77777777" w:rsidR="005137D2" w:rsidRDefault="005137D2" w:rsidP="000D5FD4">
            <w:pPr>
              <w:pStyle w:val="BMSBodyText"/>
              <w:rPr>
                <w:rFonts w:cstheme="minorHAnsi"/>
              </w:rPr>
            </w:pPr>
            <w:r>
              <w:rPr>
                <w:rFonts w:cstheme="minorHAnsi"/>
              </w:rPr>
              <w:t>Anyone required to use hand held or guided vibrating tools/equipment must be engaged in a suitable health surveillance programme (</w:t>
            </w:r>
            <w:hyperlink r:id="rId25" w:history="1">
              <w:r w:rsidRPr="00657753">
                <w:rPr>
                  <w:rStyle w:val="Hyperlink"/>
                  <w:rFonts w:cstheme="minorHAnsi"/>
                </w:rPr>
                <w:t>HSF-PR-0035</w:t>
              </w:r>
            </w:hyperlink>
            <w:r>
              <w:rPr>
                <w:rFonts w:cstheme="minorHAnsi"/>
              </w:rPr>
              <w:t xml:space="preserve"> Occupational Health Surveillance-Assessment) before starting work where they are required to operate hand held or guided vibrating tools/equipment. </w:t>
            </w:r>
          </w:p>
        </w:tc>
      </w:tr>
      <w:tr w:rsidR="005137D2" w:rsidRPr="009A5868" w14:paraId="4A0DB860" w14:textId="77777777" w:rsidTr="00C27184">
        <w:trPr>
          <w:cantSplit/>
        </w:trPr>
        <w:tc>
          <w:tcPr>
            <w:tcW w:w="675" w:type="dxa"/>
          </w:tcPr>
          <w:p w14:paraId="4A0DB85E" w14:textId="77777777" w:rsidR="005137D2" w:rsidRPr="009A5868" w:rsidRDefault="005137D2" w:rsidP="00022902">
            <w:pPr>
              <w:pStyle w:val="BMSBodyText"/>
              <w:numPr>
                <w:ilvl w:val="1"/>
                <w:numId w:val="9"/>
              </w:numPr>
            </w:pPr>
          </w:p>
        </w:tc>
        <w:tc>
          <w:tcPr>
            <w:tcW w:w="10030" w:type="dxa"/>
            <w:gridSpan w:val="3"/>
          </w:tcPr>
          <w:p w14:paraId="4A0DB85F" w14:textId="77777777" w:rsidR="005137D2" w:rsidRDefault="005137D2" w:rsidP="005A33B4">
            <w:pPr>
              <w:pStyle w:val="BMSBodyText"/>
              <w:rPr>
                <w:rFonts w:cstheme="minorHAnsi"/>
              </w:rPr>
            </w:pPr>
            <w:r>
              <w:rPr>
                <w:rFonts w:cstheme="minorHAnsi"/>
              </w:rPr>
              <w:t>The purpose of health surveillance is to detect work-related ill health at an early stage and to act on the results.</w:t>
            </w:r>
          </w:p>
        </w:tc>
      </w:tr>
      <w:tr w:rsidR="005137D2" w:rsidRPr="009A5868" w14:paraId="4A0DB863" w14:textId="77777777" w:rsidTr="00C27184">
        <w:trPr>
          <w:cantSplit/>
        </w:trPr>
        <w:tc>
          <w:tcPr>
            <w:tcW w:w="675" w:type="dxa"/>
          </w:tcPr>
          <w:p w14:paraId="4A0DB861" w14:textId="77777777" w:rsidR="005137D2" w:rsidRPr="009A5868" w:rsidRDefault="005137D2" w:rsidP="005A33B4">
            <w:pPr>
              <w:pStyle w:val="BMSBodyText"/>
              <w:numPr>
                <w:ilvl w:val="1"/>
                <w:numId w:val="9"/>
              </w:numPr>
            </w:pPr>
          </w:p>
        </w:tc>
        <w:tc>
          <w:tcPr>
            <w:tcW w:w="10030" w:type="dxa"/>
            <w:gridSpan w:val="3"/>
          </w:tcPr>
          <w:p w14:paraId="4A0DB862" w14:textId="77777777" w:rsidR="005137D2" w:rsidRPr="008C2EB8" w:rsidDel="00F11362" w:rsidRDefault="005137D2" w:rsidP="004D61BB">
            <w:pPr>
              <w:pStyle w:val="BMSBodyText"/>
              <w:rPr>
                <w:rFonts w:cstheme="minorHAnsi"/>
              </w:rPr>
            </w:pPr>
            <w:r w:rsidRPr="008C2EB8">
              <w:rPr>
                <w:rFonts w:cstheme="minorHAnsi"/>
              </w:rPr>
              <w:t xml:space="preserve">HAVS Occupational Health Surveillance will be conducted </w:t>
            </w:r>
            <w:r>
              <w:rPr>
                <w:rFonts w:cstheme="minorHAnsi"/>
              </w:rPr>
              <w:t xml:space="preserve">over a three-year cycle </w:t>
            </w:r>
            <w:r w:rsidRPr="008C2EB8">
              <w:rPr>
                <w:rFonts w:cstheme="minorHAnsi"/>
              </w:rPr>
              <w:t>in accordance with the Occupational Health Surveillance-Assessment procedure (</w:t>
            </w:r>
            <w:hyperlink r:id="rId26" w:history="1">
              <w:r w:rsidRPr="00657753">
                <w:rPr>
                  <w:rStyle w:val="Hyperlink"/>
                  <w:rFonts w:cstheme="minorHAnsi"/>
                </w:rPr>
                <w:t>HSF-PR-0035</w:t>
              </w:r>
            </w:hyperlink>
            <w:r w:rsidRPr="008C2EB8">
              <w:rPr>
                <w:rFonts w:cstheme="minorHAnsi"/>
              </w:rPr>
              <w:t>), except where HAVS has been diagnosed. The following occupational health surveillance guidance applies to employees diagnosed with HAVS</w:t>
            </w:r>
            <w:r>
              <w:rPr>
                <w:rFonts w:cstheme="minorHAnsi"/>
              </w:rPr>
              <w:t xml:space="preserve"> using the Stockholm Workshop Scales</w:t>
            </w:r>
            <w:r w:rsidRPr="008C2EB8">
              <w:rPr>
                <w:rFonts w:cstheme="minorHAnsi"/>
              </w:rPr>
              <w:t>:</w:t>
            </w:r>
          </w:p>
        </w:tc>
      </w:tr>
      <w:tr w:rsidR="004D61BB" w:rsidRPr="009A5868" w14:paraId="4A0DB866" w14:textId="77777777" w:rsidTr="00C27184">
        <w:trPr>
          <w:cantSplit/>
        </w:trPr>
        <w:tc>
          <w:tcPr>
            <w:tcW w:w="675" w:type="dxa"/>
          </w:tcPr>
          <w:p w14:paraId="4A0DB864" w14:textId="77777777" w:rsidR="004D61BB" w:rsidRPr="009A5868" w:rsidRDefault="004D61BB" w:rsidP="004D61BB">
            <w:pPr>
              <w:pStyle w:val="BMSBodyText"/>
            </w:pPr>
          </w:p>
        </w:tc>
        <w:tc>
          <w:tcPr>
            <w:tcW w:w="10030" w:type="dxa"/>
            <w:gridSpan w:val="3"/>
          </w:tcPr>
          <w:p w14:paraId="4A0DB865" w14:textId="77777777" w:rsidR="004D61BB" w:rsidRPr="004D61BB" w:rsidRDefault="004D61BB" w:rsidP="005A33B4">
            <w:pPr>
              <w:pStyle w:val="BMSBodyText"/>
              <w:numPr>
                <w:ilvl w:val="0"/>
                <w:numId w:val="12"/>
              </w:numPr>
              <w:rPr>
                <w:rFonts w:cstheme="minorHAnsi"/>
              </w:rPr>
            </w:pPr>
            <w:r w:rsidRPr="008C2EB8">
              <w:rPr>
                <w:rFonts w:cstheme="minorHAnsi"/>
              </w:rPr>
              <w:t xml:space="preserve">Diagnosed Stage 1 or Stage 2 </w:t>
            </w:r>
            <w:r>
              <w:rPr>
                <w:rFonts w:cstheme="minorHAnsi"/>
              </w:rPr>
              <w:t>E</w:t>
            </w:r>
            <w:r w:rsidRPr="008C2EB8">
              <w:rPr>
                <w:rFonts w:cstheme="minorHAnsi"/>
              </w:rPr>
              <w:t>arly – annual Face to Face health assessment will replace annual HAVS questionnaires</w:t>
            </w:r>
            <w:r>
              <w:rPr>
                <w:rFonts w:cstheme="minorHAnsi"/>
              </w:rPr>
              <w:t>.</w:t>
            </w:r>
          </w:p>
        </w:tc>
      </w:tr>
      <w:tr w:rsidR="004D61BB" w:rsidRPr="009A5868" w14:paraId="4A0DB869" w14:textId="77777777" w:rsidTr="00C27184">
        <w:trPr>
          <w:cantSplit/>
        </w:trPr>
        <w:tc>
          <w:tcPr>
            <w:tcW w:w="675" w:type="dxa"/>
          </w:tcPr>
          <w:p w14:paraId="4A0DB867" w14:textId="77777777" w:rsidR="004D61BB" w:rsidRPr="009A5868" w:rsidRDefault="004D61BB" w:rsidP="004D61BB">
            <w:pPr>
              <w:pStyle w:val="BMSBodyText"/>
            </w:pPr>
          </w:p>
        </w:tc>
        <w:tc>
          <w:tcPr>
            <w:tcW w:w="10030" w:type="dxa"/>
            <w:gridSpan w:val="3"/>
          </w:tcPr>
          <w:p w14:paraId="4A0DB868" w14:textId="77777777" w:rsidR="004D61BB" w:rsidRPr="008C2EB8" w:rsidRDefault="004D61BB" w:rsidP="004D61BB">
            <w:pPr>
              <w:pStyle w:val="BMSBodyText"/>
              <w:numPr>
                <w:ilvl w:val="0"/>
                <w:numId w:val="12"/>
              </w:numPr>
              <w:rPr>
                <w:rFonts w:cstheme="minorHAnsi"/>
              </w:rPr>
            </w:pPr>
            <w:r w:rsidRPr="008C2EB8">
              <w:rPr>
                <w:rFonts w:cstheme="minorHAnsi"/>
              </w:rPr>
              <w:t>Diagnosed Stage 2 Late or Stage 3 – no further health surveillance will be required as the employee will be prohibited from using hand held vibrating tools/equipment.</w:t>
            </w:r>
          </w:p>
        </w:tc>
      </w:tr>
      <w:tr w:rsidR="005137D2" w:rsidRPr="009A5868" w14:paraId="4A0DB86C" w14:textId="77777777" w:rsidTr="00C27184">
        <w:trPr>
          <w:cantSplit/>
        </w:trPr>
        <w:tc>
          <w:tcPr>
            <w:tcW w:w="675" w:type="dxa"/>
          </w:tcPr>
          <w:p w14:paraId="4A0DB86A" w14:textId="77777777" w:rsidR="005137D2" w:rsidRPr="009A5868" w:rsidRDefault="005137D2" w:rsidP="005A33B4">
            <w:pPr>
              <w:pStyle w:val="BMSBodyText"/>
              <w:numPr>
                <w:ilvl w:val="1"/>
                <w:numId w:val="9"/>
              </w:numPr>
            </w:pPr>
          </w:p>
        </w:tc>
        <w:tc>
          <w:tcPr>
            <w:tcW w:w="10030" w:type="dxa"/>
            <w:gridSpan w:val="3"/>
          </w:tcPr>
          <w:p w14:paraId="4A0DB86B" w14:textId="3499992C" w:rsidR="005137D2" w:rsidRPr="00A85E19" w:rsidRDefault="005137D2" w:rsidP="00D52474">
            <w:pPr>
              <w:pStyle w:val="BMSBodyText"/>
              <w:rPr>
                <w:rFonts w:cstheme="minorHAnsi"/>
              </w:rPr>
            </w:pPr>
            <w:r w:rsidRPr="00A85E19">
              <w:rPr>
                <w:rFonts w:cstheme="minorHAnsi"/>
              </w:rPr>
              <w:t xml:space="preserve">If HAVS is </w:t>
            </w:r>
            <w:r>
              <w:rPr>
                <w:rFonts w:cstheme="minorHAnsi"/>
              </w:rPr>
              <w:t>diagnosed</w:t>
            </w:r>
            <w:r w:rsidRPr="00A85E19">
              <w:rPr>
                <w:rFonts w:cstheme="minorHAnsi"/>
              </w:rPr>
              <w:t xml:space="preserve"> following an assessment with </w:t>
            </w:r>
            <w:r>
              <w:rPr>
                <w:rFonts w:cstheme="minorHAnsi"/>
              </w:rPr>
              <w:t>the</w:t>
            </w:r>
            <w:r w:rsidRPr="00A85E19">
              <w:rPr>
                <w:rFonts w:cstheme="minorHAnsi"/>
              </w:rPr>
              <w:t xml:space="preserve"> Occupational Health </w:t>
            </w:r>
            <w:r w:rsidR="00DA46B3" w:rsidRPr="00A85E19">
              <w:rPr>
                <w:rFonts w:cstheme="minorHAnsi"/>
              </w:rPr>
              <w:t>Provider,</w:t>
            </w:r>
            <w:r w:rsidRPr="00A85E19">
              <w:rPr>
                <w:rFonts w:cstheme="minorHAnsi"/>
              </w:rPr>
              <w:t xml:space="preserve"> the grading will be shared with the relevant project by the Occupational Health Partner</w:t>
            </w:r>
            <w:r>
              <w:rPr>
                <w:rFonts w:cstheme="minorHAnsi"/>
              </w:rPr>
              <w:t xml:space="preserve"> / Admin. Team by email.</w:t>
            </w:r>
          </w:p>
        </w:tc>
      </w:tr>
      <w:tr w:rsidR="005137D2" w:rsidRPr="009A5868" w14:paraId="4A0DB86F" w14:textId="77777777" w:rsidTr="00C27184">
        <w:trPr>
          <w:cantSplit/>
        </w:trPr>
        <w:tc>
          <w:tcPr>
            <w:tcW w:w="675" w:type="dxa"/>
          </w:tcPr>
          <w:p w14:paraId="4A0DB86D" w14:textId="77777777" w:rsidR="005137D2" w:rsidRPr="009A5868" w:rsidRDefault="005137D2" w:rsidP="00022902">
            <w:pPr>
              <w:pStyle w:val="BMSBodyText"/>
              <w:numPr>
                <w:ilvl w:val="1"/>
                <w:numId w:val="9"/>
              </w:numPr>
            </w:pPr>
          </w:p>
        </w:tc>
        <w:tc>
          <w:tcPr>
            <w:tcW w:w="10030" w:type="dxa"/>
            <w:gridSpan w:val="3"/>
          </w:tcPr>
          <w:p w14:paraId="4A0DB86E" w14:textId="77777777" w:rsidR="005137D2" w:rsidRPr="00A85E19" w:rsidRDefault="005137D2" w:rsidP="00A93363">
            <w:pPr>
              <w:pStyle w:val="BMSBodyText"/>
              <w:rPr>
                <w:rFonts w:cstheme="minorHAnsi"/>
              </w:rPr>
            </w:pPr>
            <w:r w:rsidRPr="00A85E19">
              <w:rPr>
                <w:rFonts w:cstheme="minorHAnsi"/>
              </w:rPr>
              <w:t xml:space="preserve">It is the joint </w:t>
            </w:r>
            <w:r>
              <w:rPr>
                <w:rFonts w:cstheme="minorHAnsi"/>
              </w:rPr>
              <w:t xml:space="preserve">mandatory </w:t>
            </w:r>
            <w:r w:rsidRPr="00A85E19">
              <w:rPr>
                <w:rFonts w:cstheme="minorHAnsi"/>
              </w:rPr>
              <w:t>responsibility of operations and the local HSE Advisor to conduct a one</w:t>
            </w:r>
            <w:r>
              <w:rPr>
                <w:rFonts w:cstheme="minorHAnsi"/>
              </w:rPr>
              <w:t>-</w:t>
            </w:r>
            <w:r w:rsidRPr="00A85E19">
              <w:rPr>
                <w:rFonts w:cstheme="minorHAnsi"/>
              </w:rPr>
              <w:t>to</w:t>
            </w:r>
            <w:r>
              <w:rPr>
                <w:rFonts w:cstheme="minorHAnsi"/>
              </w:rPr>
              <w:t>-</w:t>
            </w:r>
            <w:r w:rsidRPr="00A85E19">
              <w:rPr>
                <w:rFonts w:cstheme="minorHAnsi"/>
              </w:rPr>
              <w:t>one diagnosis meeting</w:t>
            </w:r>
            <w:r>
              <w:rPr>
                <w:rFonts w:cstheme="minorHAnsi"/>
              </w:rPr>
              <w:t xml:space="preserve"> with the employee and to complete </w:t>
            </w:r>
            <w:r w:rsidRPr="00A85E19">
              <w:rPr>
                <w:rFonts w:cstheme="minorHAnsi"/>
              </w:rPr>
              <w:t>HAVS Investigation Form (</w:t>
            </w:r>
            <w:hyperlink r:id="rId27" w:history="1">
              <w:r w:rsidRPr="00513FDC">
                <w:rPr>
                  <w:rStyle w:val="Hyperlink"/>
                  <w:rFonts w:cstheme="minorHAnsi"/>
                </w:rPr>
                <w:t>HSF-SF-0060a</w:t>
              </w:r>
            </w:hyperlink>
            <w:r w:rsidRPr="00A85E19">
              <w:rPr>
                <w:rFonts w:cstheme="minorHAnsi"/>
              </w:rPr>
              <w:t xml:space="preserve">). </w:t>
            </w:r>
            <w:r>
              <w:rPr>
                <w:rFonts w:cstheme="minorHAnsi"/>
              </w:rPr>
              <w:t xml:space="preserve"> </w:t>
            </w:r>
            <w:r w:rsidRPr="00A85E19">
              <w:rPr>
                <w:rFonts w:cstheme="minorHAnsi"/>
              </w:rPr>
              <w:t>The HAVS Investigation Form</w:t>
            </w:r>
            <w:r>
              <w:rPr>
                <w:rFonts w:cstheme="minorHAnsi"/>
              </w:rPr>
              <w:t xml:space="preserve"> (</w:t>
            </w:r>
            <w:hyperlink r:id="rId28" w:history="1">
              <w:r w:rsidRPr="00513FDC">
                <w:rPr>
                  <w:rStyle w:val="Hyperlink"/>
                  <w:rFonts w:cstheme="minorHAnsi"/>
                </w:rPr>
                <w:t>HSF-SF-0060a</w:t>
              </w:r>
            </w:hyperlink>
            <w:r>
              <w:rPr>
                <w:rFonts w:cstheme="minorHAnsi"/>
              </w:rPr>
              <w:t>) contains guidance for use</w:t>
            </w:r>
            <w:r w:rsidRPr="00A85E19">
              <w:rPr>
                <w:rFonts w:cstheme="minorHAnsi"/>
              </w:rPr>
              <w:t xml:space="preserve"> throughout the diagnosis meeting.</w:t>
            </w:r>
            <w:r>
              <w:rPr>
                <w:rFonts w:cstheme="minorHAnsi"/>
              </w:rPr>
              <w:t xml:space="preserve"> </w:t>
            </w:r>
          </w:p>
        </w:tc>
      </w:tr>
      <w:tr w:rsidR="005137D2" w:rsidRPr="009A5868" w14:paraId="4A0DB872" w14:textId="77777777" w:rsidTr="00C27184">
        <w:trPr>
          <w:cantSplit/>
        </w:trPr>
        <w:tc>
          <w:tcPr>
            <w:tcW w:w="675" w:type="dxa"/>
          </w:tcPr>
          <w:p w14:paraId="4A0DB870" w14:textId="77777777" w:rsidR="005137D2" w:rsidRPr="009A5868" w:rsidRDefault="005137D2" w:rsidP="00022902">
            <w:pPr>
              <w:pStyle w:val="BMSBodyText"/>
              <w:numPr>
                <w:ilvl w:val="1"/>
                <w:numId w:val="9"/>
              </w:numPr>
            </w:pPr>
          </w:p>
        </w:tc>
        <w:tc>
          <w:tcPr>
            <w:tcW w:w="10030" w:type="dxa"/>
            <w:gridSpan w:val="3"/>
          </w:tcPr>
          <w:p w14:paraId="4A0DB871" w14:textId="77777777" w:rsidR="005137D2" w:rsidRPr="00A85E19" w:rsidRDefault="005137D2" w:rsidP="0096128E">
            <w:pPr>
              <w:pStyle w:val="BMSBodyText"/>
              <w:rPr>
                <w:rFonts w:cstheme="minorHAnsi"/>
              </w:rPr>
            </w:pPr>
            <w:r w:rsidRPr="00A85E19">
              <w:rPr>
                <w:rFonts w:cstheme="minorHAnsi"/>
              </w:rPr>
              <w:t>Once complete and signed by all parties</w:t>
            </w:r>
            <w:r>
              <w:rPr>
                <w:rFonts w:cstheme="minorHAnsi"/>
              </w:rPr>
              <w:t>,</w:t>
            </w:r>
            <w:r w:rsidRPr="00A85E19">
              <w:rPr>
                <w:rFonts w:cstheme="minorHAnsi"/>
              </w:rPr>
              <w:t xml:space="preserve"> </w:t>
            </w:r>
            <w:r>
              <w:rPr>
                <w:rFonts w:cstheme="minorHAnsi"/>
              </w:rPr>
              <w:t>the form</w:t>
            </w:r>
            <w:r w:rsidRPr="00A85E19">
              <w:rPr>
                <w:rFonts w:cstheme="minorHAnsi"/>
              </w:rPr>
              <w:t xml:space="preserve"> is to be </w:t>
            </w:r>
            <w:r>
              <w:rPr>
                <w:rFonts w:cstheme="minorHAnsi"/>
              </w:rPr>
              <w:t xml:space="preserve">copied to </w:t>
            </w:r>
            <w:r w:rsidRPr="00A85E19">
              <w:rPr>
                <w:rFonts w:cstheme="minorHAnsi"/>
              </w:rPr>
              <w:t xml:space="preserve">the Occupational Health Department </w:t>
            </w:r>
            <w:r>
              <w:rPr>
                <w:rFonts w:cstheme="minorHAnsi"/>
              </w:rPr>
              <w:t>at</w:t>
            </w:r>
            <w:r w:rsidRPr="00A85E19">
              <w:rPr>
                <w:rFonts w:cstheme="minorHAnsi"/>
              </w:rPr>
              <w:t xml:space="preserve"> </w:t>
            </w:r>
            <w:hyperlink r:id="rId29" w:history="1">
              <w:r w:rsidRPr="00A85E19">
                <w:rPr>
                  <w:rStyle w:val="Hyperlink"/>
                  <w:rFonts w:cstheme="minorHAnsi"/>
                </w:rPr>
                <w:t>BBUKOcchealth@balfourbeatty.com</w:t>
              </w:r>
            </w:hyperlink>
            <w:r w:rsidRPr="00A85E19">
              <w:rPr>
                <w:rFonts w:cstheme="minorHAnsi"/>
              </w:rPr>
              <w:t xml:space="preserve"> </w:t>
            </w:r>
            <w:r>
              <w:rPr>
                <w:rFonts w:cstheme="minorHAnsi"/>
              </w:rPr>
              <w:t xml:space="preserve">for </w:t>
            </w:r>
            <w:r w:rsidRPr="00A85E19">
              <w:rPr>
                <w:rFonts w:cstheme="minorHAnsi"/>
              </w:rPr>
              <w:t>stor</w:t>
            </w:r>
            <w:r>
              <w:rPr>
                <w:rFonts w:cstheme="minorHAnsi"/>
              </w:rPr>
              <w:t>ag</w:t>
            </w:r>
            <w:r w:rsidRPr="00A85E19">
              <w:rPr>
                <w:rFonts w:cstheme="minorHAnsi"/>
              </w:rPr>
              <w:t>e on the employees HR file.</w:t>
            </w:r>
          </w:p>
        </w:tc>
      </w:tr>
      <w:tr w:rsidR="005137D2" w:rsidRPr="009A5868" w14:paraId="4A0DB875" w14:textId="77777777" w:rsidTr="00C27184">
        <w:trPr>
          <w:cantSplit/>
        </w:trPr>
        <w:tc>
          <w:tcPr>
            <w:tcW w:w="675" w:type="dxa"/>
          </w:tcPr>
          <w:p w14:paraId="4A0DB873" w14:textId="77777777" w:rsidR="005137D2" w:rsidRPr="009A5868" w:rsidRDefault="005137D2" w:rsidP="00022902">
            <w:pPr>
              <w:pStyle w:val="BMSBodyText"/>
              <w:numPr>
                <w:ilvl w:val="1"/>
                <w:numId w:val="9"/>
              </w:numPr>
            </w:pPr>
          </w:p>
        </w:tc>
        <w:tc>
          <w:tcPr>
            <w:tcW w:w="10030" w:type="dxa"/>
            <w:gridSpan w:val="3"/>
          </w:tcPr>
          <w:p w14:paraId="4A0DB874" w14:textId="77777777" w:rsidR="005137D2" w:rsidRPr="00A85E19" w:rsidRDefault="005137D2" w:rsidP="007B146A">
            <w:pPr>
              <w:pStyle w:val="BMSBodyText"/>
              <w:rPr>
                <w:rFonts w:cstheme="minorHAnsi"/>
              </w:rPr>
            </w:pPr>
            <w:r>
              <w:rPr>
                <w:rFonts w:cstheme="minorHAnsi"/>
              </w:rPr>
              <w:t>Diagnosis of HAVS and the completed HAVS Investigation Form must also be recorded in accordance with the Incident Reporting and Investigation procedure (</w:t>
            </w:r>
            <w:hyperlink r:id="rId30" w:history="1">
              <w:r w:rsidRPr="007B146A">
                <w:rPr>
                  <w:rStyle w:val="Hyperlink"/>
                  <w:rFonts w:cstheme="minorHAnsi"/>
                </w:rPr>
                <w:t>HSES-PR-0005</w:t>
              </w:r>
            </w:hyperlink>
            <w:r>
              <w:rPr>
                <w:rFonts w:cstheme="minorHAnsi"/>
              </w:rPr>
              <w:t>) and recorded on iSMS.  Advice should be sought f</w:t>
            </w:r>
            <w:r w:rsidRPr="00581C51">
              <w:rPr>
                <w:rFonts w:cstheme="minorHAnsi"/>
              </w:rPr>
              <w:t xml:space="preserve">rom the Occupational Health Manager about the need to report </w:t>
            </w:r>
            <w:r>
              <w:rPr>
                <w:rFonts w:cstheme="minorHAnsi"/>
              </w:rPr>
              <w:t>under RIDDOR</w:t>
            </w:r>
            <w:r w:rsidRPr="00581C51">
              <w:rPr>
                <w:rFonts w:cstheme="minorHAnsi"/>
              </w:rPr>
              <w:t>.</w:t>
            </w:r>
          </w:p>
        </w:tc>
      </w:tr>
      <w:tr w:rsidR="005137D2" w:rsidRPr="009A5868" w14:paraId="4A0DB878" w14:textId="77777777" w:rsidTr="00C27184">
        <w:trPr>
          <w:cantSplit/>
        </w:trPr>
        <w:tc>
          <w:tcPr>
            <w:tcW w:w="675" w:type="dxa"/>
          </w:tcPr>
          <w:p w14:paraId="4A0DB876" w14:textId="77777777" w:rsidR="005137D2" w:rsidRPr="009A5868" w:rsidRDefault="005137D2" w:rsidP="005A33B4">
            <w:pPr>
              <w:pStyle w:val="BMSBodyText"/>
              <w:numPr>
                <w:ilvl w:val="0"/>
                <w:numId w:val="9"/>
              </w:numPr>
            </w:pPr>
          </w:p>
        </w:tc>
        <w:tc>
          <w:tcPr>
            <w:tcW w:w="10030" w:type="dxa"/>
            <w:gridSpan w:val="3"/>
          </w:tcPr>
          <w:p w14:paraId="4A0DB877" w14:textId="77777777" w:rsidR="005137D2" w:rsidRPr="00632F15" w:rsidRDefault="005137D2" w:rsidP="005A33B4">
            <w:pPr>
              <w:pStyle w:val="BMSBodyText"/>
              <w:rPr>
                <w:rFonts w:cstheme="minorHAnsi"/>
                <w:b/>
              </w:rPr>
            </w:pPr>
            <w:r w:rsidRPr="00632F15">
              <w:rPr>
                <w:rFonts w:cstheme="minorHAnsi"/>
                <w:b/>
              </w:rPr>
              <w:t>SUPPLY CHAIN</w:t>
            </w:r>
          </w:p>
        </w:tc>
      </w:tr>
      <w:tr w:rsidR="005137D2" w:rsidRPr="009A5868" w14:paraId="4A0DB87B" w14:textId="77777777" w:rsidTr="00C27184">
        <w:trPr>
          <w:cantSplit/>
        </w:trPr>
        <w:tc>
          <w:tcPr>
            <w:tcW w:w="675" w:type="dxa"/>
          </w:tcPr>
          <w:p w14:paraId="4A0DB879" w14:textId="77777777" w:rsidR="005137D2" w:rsidRPr="009A5868" w:rsidRDefault="005137D2" w:rsidP="005A33B4">
            <w:pPr>
              <w:pStyle w:val="BMSBodyText"/>
              <w:numPr>
                <w:ilvl w:val="1"/>
                <w:numId w:val="9"/>
              </w:numPr>
            </w:pPr>
          </w:p>
        </w:tc>
        <w:tc>
          <w:tcPr>
            <w:tcW w:w="10030" w:type="dxa"/>
            <w:gridSpan w:val="3"/>
          </w:tcPr>
          <w:p w14:paraId="4A0DB87A" w14:textId="3E7EE56C" w:rsidR="005137D2" w:rsidRPr="00632F15" w:rsidRDefault="005137D2" w:rsidP="005A33B4">
            <w:pPr>
              <w:pStyle w:val="BMSBodyText"/>
              <w:rPr>
                <w:rFonts w:cstheme="minorHAnsi"/>
              </w:rPr>
            </w:pPr>
            <w:r>
              <w:rPr>
                <w:rFonts w:cstheme="minorHAnsi"/>
              </w:rPr>
              <w:t>The</w:t>
            </w:r>
            <w:r w:rsidRPr="00632F15">
              <w:rPr>
                <w:rFonts w:cstheme="minorHAnsi"/>
              </w:rPr>
              <w:t xml:space="preserve"> requirements </w:t>
            </w:r>
            <w:r>
              <w:rPr>
                <w:rFonts w:cstheme="minorHAnsi"/>
              </w:rPr>
              <w:t xml:space="preserve">outlined in this procedure are also applicable to </w:t>
            </w:r>
            <w:r w:rsidRPr="00632F15">
              <w:rPr>
                <w:rFonts w:cstheme="minorHAnsi"/>
              </w:rPr>
              <w:t xml:space="preserve">our supply chain, who must </w:t>
            </w:r>
            <w:r>
              <w:rPr>
                <w:rFonts w:cstheme="minorHAnsi"/>
              </w:rPr>
              <w:t xml:space="preserve">demonstrate that their own procedural controls are suitable and </w:t>
            </w:r>
            <w:proofErr w:type="gramStart"/>
            <w:r w:rsidR="00DA46B3">
              <w:rPr>
                <w:rFonts w:cstheme="minorHAnsi"/>
              </w:rPr>
              <w:t>sufficient</w:t>
            </w:r>
            <w:proofErr w:type="gramEnd"/>
            <w:r>
              <w:rPr>
                <w:rFonts w:cstheme="minorHAnsi"/>
              </w:rPr>
              <w:t xml:space="preserve"> to </w:t>
            </w:r>
            <w:r w:rsidRPr="00632F15">
              <w:rPr>
                <w:rFonts w:cstheme="minorHAnsi"/>
              </w:rPr>
              <w:t>protect their workforce from exposure to harmful vibration to at least the same standard</w:t>
            </w:r>
            <w:r>
              <w:rPr>
                <w:rFonts w:cstheme="minorHAnsi"/>
              </w:rPr>
              <w:t>, and that an appropriate health surveillance programme is in place</w:t>
            </w:r>
            <w:r w:rsidRPr="00632F15">
              <w:rPr>
                <w:rFonts w:cstheme="minorHAnsi"/>
              </w:rPr>
              <w:t xml:space="preserve">. </w:t>
            </w:r>
            <w:r>
              <w:rPr>
                <w:rFonts w:cstheme="minorHAnsi"/>
              </w:rPr>
              <w:t xml:space="preserve">Supply chain employees must not be set to work unless they can supply evidence that they are fit to work or have work restrictions following an occupational health assessment. </w:t>
            </w:r>
          </w:p>
        </w:tc>
      </w:tr>
      <w:tr w:rsidR="005137D2" w:rsidRPr="009A5868" w14:paraId="4A0DB87E" w14:textId="77777777" w:rsidTr="00C27184">
        <w:trPr>
          <w:cantSplit/>
        </w:trPr>
        <w:tc>
          <w:tcPr>
            <w:tcW w:w="675" w:type="dxa"/>
          </w:tcPr>
          <w:p w14:paraId="4A0DB87C" w14:textId="77777777" w:rsidR="005137D2" w:rsidRPr="009A5868" w:rsidRDefault="005137D2" w:rsidP="005A33B4">
            <w:pPr>
              <w:pStyle w:val="BMSBodyText"/>
              <w:numPr>
                <w:ilvl w:val="1"/>
                <w:numId w:val="9"/>
              </w:numPr>
            </w:pPr>
          </w:p>
        </w:tc>
        <w:tc>
          <w:tcPr>
            <w:tcW w:w="10030" w:type="dxa"/>
            <w:gridSpan w:val="3"/>
          </w:tcPr>
          <w:p w14:paraId="4A0DB87D" w14:textId="77777777" w:rsidR="005137D2" w:rsidRDefault="005137D2" w:rsidP="006C5B10">
            <w:pPr>
              <w:pStyle w:val="BMSBodyText"/>
              <w:rPr>
                <w:rFonts w:cstheme="minorHAnsi"/>
              </w:rPr>
            </w:pPr>
            <w:r>
              <w:rPr>
                <w:rFonts w:cstheme="minorHAnsi"/>
              </w:rPr>
              <w:t>The Site Lead must confirm the specific supply chain arrangements for controlling vibration at work during the Pre-Start Subcontractors Meeting (</w:t>
            </w:r>
            <w:hyperlink r:id="rId31" w:history="1">
              <w:r w:rsidRPr="00BA270F">
                <w:rPr>
                  <w:rStyle w:val="Hyperlink"/>
                  <w:rFonts w:cstheme="minorHAnsi"/>
                </w:rPr>
                <w:t>HSES-TF-0010c</w:t>
              </w:r>
            </w:hyperlink>
            <w:r w:rsidRPr="00963DEF">
              <w:rPr>
                <w:rFonts w:cstheme="minorHAnsi"/>
              </w:rPr>
              <w:t>)</w:t>
            </w:r>
            <w:r>
              <w:rPr>
                <w:rFonts w:cstheme="minorHAnsi"/>
              </w:rPr>
              <w:t xml:space="preserve"> prior to works commencing on site.</w:t>
            </w:r>
          </w:p>
        </w:tc>
      </w:tr>
      <w:tr w:rsidR="005137D2" w:rsidRPr="009A5868" w14:paraId="4A0DB880" w14:textId="77777777" w:rsidTr="00C27184">
        <w:trPr>
          <w:cantSplit/>
          <w:tblHeader/>
        </w:trPr>
        <w:tc>
          <w:tcPr>
            <w:tcW w:w="10705" w:type="dxa"/>
            <w:gridSpan w:val="4"/>
            <w:tcBorders>
              <w:bottom w:val="single" w:sz="4" w:space="0" w:color="BFBFBF" w:themeColor="background1" w:themeShade="BF"/>
            </w:tcBorders>
          </w:tcPr>
          <w:p w14:paraId="4A0DB87F" w14:textId="77777777" w:rsidR="005137D2" w:rsidRPr="009A5868" w:rsidRDefault="005137D2" w:rsidP="00A8025E">
            <w:pPr>
              <w:pStyle w:val="BMSMainHeading"/>
            </w:pPr>
            <w:r w:rsidRPr="009A5868">
              <w:t>A</w:t>
            </w:r>
            <w:r>
              <w:t>CRONYMS AND</w:t>
            </w:r>
            <w:r w:rsidRPr="009A5868">
              <w:t xml:space="preserve"> Definitions</w:t>
            </w:r>
          </w:p>
        </w:tc>
      </w:tr>
      <w:tr w:rsidR="005137D2" w:rsidRPr="009A5868" w14:paraId="4A0DB883" w14:textId="77777777" w:rsidTr="00C27184">
        <w:trPr>
          <w:cantSplit/>
        </w:trPr>
        <w:tc>
          <w:tcPr>
            <w:tcW w:w="25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1" w14:textId="77777777" w:rsidR="005137D2" w:rsidRPr="008A5E37" w:rsidRDefault="005137D2" w:rsidP="00253C23">
            <w:pPr>
              <w:pStyle w:val="BMSBodyText"/>
              <w:rPr>
                <w:rFonts w:cstheme="minorHAnsi"/>
                <w:b/>
                <w:color w:val="000000"/>
              </w:rPr>
            </w:pPr>
            <w:r w:rsidRPr="008A5E37">
              <w:rPr>
                <w:rFonts w:cstheme="minorHAnsi"/>
                <w:b/>
                <w:color w:val="000000"/>
              </w:rPr>
              <w:t>ATPMS</w:t>
            </w:r>
          </w:p>
        </w:tc>
        <w:tc>
          <w:tcPr>
            <w:tcW w:w="81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2" w14:textId="77777777" w:rsidR="005137D2" w:rsidRPr="009A5868" w:rsidRDefault="005137D2" w:rsidP="00A8025E">
            <w:pPr>
              <w:pStyle w:val="BMSBodyText"/>
            </w:pPr>
            <w:r w:rsidRPr="009E0D9F">
              <w:t xml:space="preserve">An Auditable, Tamper Proof HAV </w:t>
            </w:r>
            <w:r>
              <w:t>Exposure Management System.</w:t>
            </w:r>
          </w:p>
        </w:tc>
      </w:tr>
      <w:tr w:rsidR="005137D2" w:rsidRPr="009A5868" w14:paraId="4A0DB886" w14:textId="77777777" w:rsidTr="00C27184">
        <w:trPr>
          <w:cantSplit/>
        </w:trPr>
        <w:tc>
          <w:tcPr>
            <w:tcW w:w="25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4" w14:textId="77777777" w:rsidR="005137D2" w:rsidRPr="008A5E37" w:rsidRDefault="005137D2" w:rsidP="00D07D98">
            <w:pPr>
              <w:pStyle w:val="BMSBodyText"/>
              <w:rPr>
                <w:b/>
              </w:rPr>
            </w:pPr>
            <w:r w:rsidRPr="008A5E37">
              <w:rPr>
                <w:rFonts w:cstheme="minorHAnsi"/>
                <w:b/>
                <w:color w:val="000000"/>
              </w:rPr>
              <w:t>HAND</w:t>
            </w:r>
            <w:r>
              <w:rPr>
                <w:rFonts w:cstheme="minorHAnsi"/>
                <w:b/>
                <w:color w:val="000000"/>
              </w:rPr>
              <w:t>-</w:t>
            </w:r>
            <w:r w:rsidRPr="008A5E37">
              <w:rPr>
                <w:rFonts w:cstheme="minorHAnsi"/>
                <w:b/>
                <w:color w:val="000000"/>
              </w:rPr>
              <w:t>ARM VIBRATION (HAV)</w:t>
            </w:r>
          </w:p>
        </w:tc>
        <w:tc>
          <w:tcPr>
            <w:tcW w:w="81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5" w14:textId="77777777" w:rsidR="005137D2" w:rsidRPr="009A5868" w:rsidRDefault="005137D2" w:rsidP="0037433B">
            <w:pPr>
              <w:pStyle w:val="BMSBodyText"/>
            </w:pPr>
            <w:r w:rsidRPr="009E0D9F">
              <w:t>Vibration transmitted from a work process into workers’ hands and arms.  It can be caused by operating hand-held power tools, such as road breakers, and hand-guided equipment, such as compactor plates, or by holding materials being processed by machines.</w:t>
            </w:r>
          </w:p>
        </w:tc>
      </w:tr>
      <w:tr w:rsidR="005137D2" w:rsidRPr="009A5868" w14:paraId="4A0DB889" w14:textId="77777777" w:rsidTr="00C27184">
        <w:trPr>
          <w:cantSplit/>
        </w:trPr>
        <w:tc>
          <w:tcPr>
            <w:tcW w:w="25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7" w14:textId="77777777" w:rsidR="005137D2" w:rsidRPr="008A5E37" w:rsidRDefault="005137D2" w:rsidP="00D07D98">
            <w:pPr>
              <w:pStyle w:val="BMSBodyText"/>
              <w:rPr>
                <w:rFonts w:cstheme="minorHAnsi"/>
                <w:b/>
                <w:color w:val="000000"/>
              </w:rPr>
            </w:pPr>
            <w:r w:rsidRPr="008A5E37">
              <w:rPr>
                <w:rFonts w:cstheme="minorHAnsi"/>
                <w:b/>
                <w:color w:val="000000"/>
              </w:rPr>
              <w:t>HAND</w:t>
            </w:r>
            <w:r>
              <w:rPr>
                <w:rFonts w:cstheme="minorHAnsi"/>
                <w:b/>
                <w:color w:val="000000"/>
              </w:rPr>
              <w:t>-</w:t>
            </w:r>
            <w:r w:rsidRPr="008A5E37">
              <w:rPr>
                <w:rFonts w:cstheme="minorHAnsi"/>
                <w:b/>
                <w:color w:val="000000"/>
              </w:rPr>
              <w:t>ARM VIBRATION SYNDROME (HAVS)</w:t>
            </w:r>
          </w:p>
        </w:tc>
        <w:tc>
          <w:tcPr>
            <w:tcW w:w="81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8" w14:textId="5DAAD356" w:rsidR="005137D2" w:rsidRPr="009A5868" w:rsidRDefault="005137D2" w:rsidP="000D40E6">
            <w:pPr>
              <w:pStyle w:val="BMSBodyText"/>
            </w:pPr>
            <w:r w:rsidRPr="009E0D9F">
              <w:t xml:space="preserve">A group of disorders which can affect the blood vessels, nerves, muscles and joints of the hand, wrist and arm.  They can become severely disabling if ignored.  The </w:t>
            </w:r>
            <w:r w:rsidR="00DA46B3" w:rsidRPr="009E0D9F">
              <w:t>best-known</w:t>
            </w:r>
            <w:r w:rsidRPr="009E0D9F">
              <w:t xml:space="preserve"> form is vibration white finger (VWF), which can be triggered by cold or wet weather and can cause severe pain in the affected fingers.</w:t>
            </w:r>
          </w:p>
        </w:tc>
      </w:tr>
      <w:tr w:rsidR="005137D2" w:rsidRPr="009A5868" w14:paraId="4A0DB88C" w14:textId="77777777" w:rsidTr="00C27184">
        <w:trPr>
          <w:cantSplit/>
        </w:trPr>
        <w:tc>
          <w:tcPr>
            <w:tcW w:w="25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A" w14:textId="77777777" w:rsidR="005137D2" w:rsidRPr="008A5E37" w:rsidRDefault="005137D2" w:rsidP="00A920D3">
            <w:pPr>
              <w:pStyle w:val="BMSBodyText"/>
              <w:rPr>
                <w:b/>
              </w:rPr>
            </w:pPr>
            <w:r w:rsidRPr="008A5E37">
              <w:rPr>
                <w:rFonts w:cstheme="minorHAnsi"/>
                <w:b/>
                <w:color w:val="000000"/>
              </w:rPr>
              <w:t>HEALTH SURVEILLANCE</w:t>
            </w:r>
          </w:p>
        </w:tc>
        <w:tc>
          <w:tcPr>
            <w:tcW w:w="81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B" w14:textId="77777777" w:rsidR="005137D2" w:rsidRPr="009A5868" w:rsidRDefault="005137D2" w:rsidP="00A920D3">
            <w:pPr>
              <w:pStyle w:val="BMSBodyText"/>
            </w:pPr>
            <w:r w:rsidRPr="009E0D9F">
              <w:t xml:space="preserve">A program of health checks to identify early signs and symptoms of disease. </w:t>
            </w:r>
          </w:p>
        </w:tc>
      </w:tr>
      <w:tr w:rsidR="005137D2" w:rsidRPr="009A5868" w14:paraId="4A0DB88F" w14:textId="77777777" w:rsidTr="00C27184">
        <w:trPr>
          <w:cantSplit/>
        </w:trPr>
        <w:tc>
          <w:tcPr>
            <w:tcW w:w="25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D" w14:textId="77777777" w:rsidR="005137D2" w:rsidRPr="008A5E37" w:rsidRDefault="005137D2" w:rsidP="005A33B4">
            <w:pPr>
              <w:pStyle w:val="BMSBodyText"/>
              <w:rPr>
                <w:b/>
              </w:rPr>
            </w:pPr>
            <w:r w:rsidRPr="008A5E37">
              <w:rPr>
                <w:rFonts w:cstheme="minorHAnsi"/>
                <w:b/>
                <w:color w:val="000000"/>
              </w:rPr>
              <w:t>POINTS</w:t>
            </w:r>
          </w:p>
        </w:tc>
        <w:tc>
          <w:tcPr>
            <w:tcW w:w="81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8E" w14:textId="77777777" w:rsidR="005137D2" w:rsidRPr="009A5868" w:rsidRDefault="005137D2" w:rsidP="005A33B4">
            <w:pPr>
              <w:pStyle w:val="BMSBodyText"/>
            </w:pPr>
            <w:r>
              <w:t xml:space="preserve">The </w:t>
            </w:r>
            <w:r w:rsidRPr="009E0D9F">
              <w:t>Health and Safety Executive</w:t>
            </w:r>
            <w:r>
              <w:t>’s</w:t>
            </w:r>
            <w:r w:rsidRPr="009E0D9F">
              <w:t xml:space="preserve"> defined </w:t>
            </w:r>
            <w:r>
              <w:t xml:space="preserve">system for the </w:t>
            </w:r>
            <w:r w:rsidRPr="009E0D9F">
              <w:t>measure</w:t>
            </w:r>
            <w:r>
              <w:t>ment</w:t>
            </w:r>
            <w:r w:rsidRPr="009E0D9F">
              <w:t xml:space="preserve"> </w:t>
            </w:r>
            <w:r>
              <w:t xml:space="preserve">of </w:t>
            </w:r>
            <w:r w:rsidRPr="009E0D9F">
              <w:t>vibration</w:t>
            </w:r>
            <w:r>
              <w:t xml:space="preserve"> exposure for an individual to allow comparison with the Exposure Action Value and the Exposure Limit Value.</w:t>
            </w:r>
          </w:p>
        </w:tc>
      </w:tr>
      <w:tr w:rsidR="005137D2" w:rsidRPr="009A5868" w14:paraId="4A0DB892" w14:textId="77777777" w:rsidTr="00C27184">
        <w:trPr>
          <w:cantSplit/>
        </w:trPr>
        <w:tc>
          <w:tcPr>
            <w:tcW w:w="25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0" w14:textId="77777777" w:rsidR="005137D2" w:rsidRPr="008A5E37" w:rsidRDefault="005137D2" w:rsidP="006E34A5">
            <w:pPr>
              <w:pStyle w:val="BMSBodyText"/>
              <w:rPr>
                <w:rFonts w:cstheme="minorHAnsi"/>
                <w:b/>
                <w:color w:val="000000"/>
              </w:rPr>
            </w:pPr>
            <w:r>
              <w:rPr>
                <w:rFonts w:cstheme="minorHAnsi"/>
                <w:b/>
                <w:color w:val="000000"/>
              </w:rPr>
              <w:t>STOCKHOLM WORKSHOP SCALES</w:t>
            </w:r>
          </w:p>
        </w:tc>
        <w:tc>
          <w:tcPr>
            <w:tcW w:w="81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1" w14:textId="77777777" w:rsidR="005137D2" w:rsidRPr="009E0D9F" w:rsidRDefault="005137D2" w:rsidP="006E34A5">
            <w:pPr>
              <w:pStyle w:val="BMSBodyText"/>
            </w:pPr>
            <w:r>
              <w:t>A classification scheme to classify neurological and vascular symptoms in HAVS.</w:t>
            </w:r>
          </w:p>
        </w:tc>
      </w:tr>
      <w:tr w:rsidR="005137D2" w:rsidRPr="009A5868" w14:paraId="4A0DB895" w14:textId="77777777" w:rsidTr="00C27184">
        <w:trPr>
          <w:cantSplit/>
        </w:trPr>
        <w:tc>
          <w:tcPr>
            <w:tcW w:w="25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3" w14:textId="77777777" w:rsidR="005137D2" w:rsidRPr="008A5E37" w:rsidRDefault="005137D2" w:rsidP="005A33B4">
            <w:pPr>
              <w:pStyle w:val="BMSBodyText"/>
              <w:rPr>
                <w:rFonts w:cstheme="minorHAnsi"/>
                <w:b/>
                <w:color w:val="000000"/>
              </w:rPr>
            </w:pPr>
            <w:r w:rsidRPr="008A5E37">
              <w:rPr>
                <w:rFonts w:cstheme="minorHAnsi"/>
                <w:b/>
                <w:color w:val="000000"/>
              </w:rPr>
              <w:t>TRIGGER TIME</w:t>
            </w:r>
          </w:p>
        </w:tc>
        <w:tc>
          <w:tcPr>
            <w:tcW w:w="81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4" w14:textId="77777777" w:rsidR="005137D2" w:rsidRPr="009A5868" w:rsidRDefault="005137D2" w:rsidP="005A33B4">
            <w:pPr>
              <w:pStyle w:val="BMSBodyText"/>
            </w:pPr>
            <w:r w:rsidRPr="009E0D9F">
              <w:t>The total time the equipment is operated i.e. time the trigger is pressed. It does not include any time that the equipment is not activated, for example when the equipment is not in use or being carried to and from the area of work.</w:t>
            </w:r>
          </w:p>
        </w:tc>
      </w:tr>
    </w:tbl>
    <w:p w14:paraId="4A0DB896" w14:textId="77777777" w:rsidR="00160027" w:rsidRDefault="00160027"/>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963DEF" w:rsidRPr="009A5868" w14:paraId="4A0DB898" w14:textId="77777777" w:rsidTr="000D5FD4">
        <w:trPr>
          <w:cantSplit/>
          <w:tblHeader/>
        </w:trPr>
        <w:tc>
          <w:tcPr>
            <w:tcW w:w="10598" w:type="dxa"/>
            <w:gridSpan w:val="3"/>
            <w:tcBorders>
              <w:bottom w:val="single" w:sz="4" w:space="0" w:color="BFBFBF" w:themeColor="background1" w:themeShade="BF"/>
            </w:tcBorders>
          </w:tcPr>
          <w:p w14:paraId="4A0DB897" w14:textId="77777777" w:rsidR="00963DEF" w:rsidRPr="009A5868" w:rsidRDefault="00963DEF" w:rsidP="005A33B4">
            <w:pPr>
              <w:pStyle w:val="BMSMainHeading"/>
            </w:pPr>
            <w:r w:rsidRPr="009A5868">
              <w:t>INPUTS</w:t>
            </w:r>
          </w:p>
        </w:tc>
      </w:tr>
      <w:tr w:rsidR="00963DEF" w:rsidRPr="006D3E21" w14:paraId="4A0DB89C" w14:textId="77777777" w:rsidTr="000D5FD4">
        <w:trPr>
          <w:cantSplit/>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9" w14:textId="77777777" w:rsidR="00963DEF" w:rsidRPr="006D3E21" w:rsidRDefault="00963DEF" w:rsidP="005A33B4">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A" w14:textId="77777777" w:rsidR="00963DEF" w:rsidRPr="006D3E21" w:rsidRDefault="00963DEF" w:rsidP="005A33B4">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B" w14:textId="77777777" w:rsidR="00963DEF" w:rsidRPr="006D3E21" w:rsidRDefault="00963DEF" w:rsidP="005A33B4">
            <w:pPr>
              <w:pStyle w:val="BMSBodyText"/>
              <w:rPr>
                <w:b/>
              </w:rPr>
            </w:pPr>
            <w:r w:rsidRPr="006D3E21">
              <w:rPr>
                <w:b/>
              </w:rPr>
              <w:t>Title</w:t>
            </w:r>
          </w:p>
        </w:tc>
      </w:tr>
      <w:tr w:rsidR="004807C9" w:rsidRPr="009A5868" w14:paraId="4A0DB8A0" w14:textId="77777777" w:rsidTr="006C5B10">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D" w14:textId="77777777" w:rsidR="004807C9" w:rsidRPr="004807C9" w:rsidRDefault="004807C9" w:rsidP="005A33B4">
            <w:pPr>
              <w:pStyle w:val="BMSBodyText"/>
              <w:rPr>
                <w:color w:val="000000" w:themeColor="text1"/>
              </w:rPr>
            </w:pPr>
            <w:r w:rsidRPr="004807C9">
              <w:rPr>
                <w:color w:val="000000" w:themeColor="text1"/>
              </w:rPr>
              <w:t>SI 2005 No. 1093</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E" w14:textId="77777777" w:rsidR="004807C9" w:rsidRDefault="004807C9" w:rsidP="005A33B4">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9F" w14:textId="77777777" w:rsidR="004807C9" w:rsidRDefault="00623598" w:rsidP="005A33B4">
            <w:pPr>
              <w:pStyle w:val="BMSBodyText"/>
            </w:pPr>
            <w:hyperlink r:id="rId32" w:history="1">
              <w:r w:rsidR="004807C9" w:rsidRPr="00657753">
                <w:rPr>
                  <w:rStyle w:val="Hyperlink"/>
                </w:rPr>
                <w:t>Control of Vibration at Work Regulations 2005</w:t>
              </w:r>
            </w:hyperlink>
          </w:p>
        </w:tc>
      </w:tr>
      <w:tr w:rsidR="004807C9" w:rsidRPr="009A5868" w14:paraId="4A0DB8A4" w14:textId="77777777" w:rsidTr="006C5B10">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1" w14:textId="0EC74F61" w:rsidR="004807C9" w:rsidRPr="004807C9" w:rsidRDefault="00623598" w:rsidP="005A33B4">
            <w:pPr>
              <w:pStyle w:val="BMSBodyText"/>
              <w:rPr>
                <w:color w:val="000000" w:themeColor="text1"/>
              </w:rPr>
            </w:pPr>
            <w:hyperlink r:id="rId33" w:history="1">
              <w:r w:rsidR="004807C9" w:rsidRPr="00BA270F">
                <w:rPr>
                  <w:rStyle w:val="Hyperlink"/>
                </w:rPr>
                <w:t>L140,</w:t>
              </w:r>
            </w:hyperlink>
            <w:r w:rsidR="004807C9">
              <w:rPr>
                <w:color w:val="000000" w:themeColor="text1"/>
              </w:rPr>
              <w:t xml:space="preserve"> </w:t>
            </w:r>
            <w:r w:rsidR="00DA46B3">
              <w:rPr>
                <w:color w:val="000000" w:themeColor="text1"/>
              </w:rPr>
              <w:t>2</w:t>
            </w:r>
            <w:r w:rsidR="00DA46B3" w:rsidRPr="00DA46B3">
              <w:rPr>
                <w:color w:val="000000" w:themeColor="text1"/>
                <w:vertAlign w:val="superscript"/>
              </w:rPr>
              <w:t>nd</w:t>
            </w:r>
            <w:r w:rsidR="00DA46B3">
              <w:rPr>
                <w:color w:val="000000" w:themeColor="text1"/>
              </w:rPr>
              <w:t xml:space="preserve"> Edition, 2019</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2" w14:textId="77777777" w:rsidR="004807C9" w:rsidRDefault="004807C9" w:rsidP="005A33B4">
            <w:pPr>
              <w:pStyle w:val="BMSBodyText"/>
            </w:pPr>
            <w:r>
              <w:t>Guidance on Regulations</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3" w14:textId="6FD7A83F" w:rsidR="004807C9" w:rsidRDefault="004807C9" w:rsidP="005A33B4">
            <w:pPr>
              <w:pStyle w:val="BMSBodyText"/>
            </w:pPr>
            <w:r>
              <w:t xml:space="preserve">Hand-arm vibration.  </w:t>
            </w:r>
          </w:p>
        </w:tc>
      </w:tr>
      <w:tr w:rsidR="004807C9" w:rsidRPr="009A5868" w14:paraId="4A0DB8A8" w14:textId="77777777" w:rsidTr="006C5B10">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5" w14:textId="77777777" w:rsidR="004807C9" w:rsidRPr="004807C9" w:rsidRDefault="00623598" w:rsidP="005A33B4">
            <w:pPr>
              <w:pStyle w:val="BMSBodyText"/>
              <w:rPr>
                <w:color w:val="000000" w:themeColor="text1"/>
              </w:rPr>
            </w:pPr>
            <w:hyperlink r:id="rId34" w:history="1">
              <w:r w:rsidR="004807C9" w:rsidRPr="00BA270F">
                <w:rPr>
                  <w:rStyle w:val="Hyperlink"/>
                </w:rPr>
                <w:t>INDG 175</w:t>
              </w:r>
            </w:hyperlink>
            <w:r w:rsidR="004807C9" w:rsidRPr="004807C9">
              <w:rPr>
                <w:color w:val="000000" w:themeColor="text1"/>
              </w:rPr>
              <w:t xml:space="preserve"> (Rev 3), November 2012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6" w14:textId="77777777" w:rsidR="004807C9" w:rsidRDefault="004807C9" w:rsidP="005A33B4">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7" w14:textId="77777777" w:rsidR="004807C9" w:rsidRDefault="004807C9" w:rsidP="005A33B4">
            <w:pPr>
              <w:pStyle w:val="BMSBodyText"/>
            </w:pPr>
            <w:r>
              <w:t>Hand-arm vibration at work</w:t>
            </w:r>
            <w:r w:rsidR="00A8025E">
              <w:t>.  HSE</w:t>
            </w:r>
          </w:p>
        </w:tc>
      </w:tr>
      <w:tr w:rsidR="00A00DBD" w:rsidRPr="009A5868" w14:paraId="4A0DB8AC" w14:textId="77777777" w:rsidTr="006C5B10">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9" w14:textId="77777777" w:rsidR="00A00DBD" w:rsidRPr="0011104B" w:rsidRDefault="00623598" w:rsidP="005A33B4">
            <w:pPr>
              <w:pStyle w:val="BMSBodyText"/>
              <w:rPr>
                <w:color w:val="FF0000"/>
              </w:rPr>
            </w:pPr>
            <w:hyperlink r:id="rId35" w:history="1">
              <w:r w:rsidR="007B146A" w:rsidRPr="007B146A">
                <w:rPr>
                  <w:rStyle w:val="Hyperlink"/>
                </w:rPr>
                <w:t>HSES</w:t>
              </w:r>
              <w:r w:rsidR="00A00DBD" w:rsidRPr="007B146A">
                <w:rPr>
                  <w:rStyle w:val="Hyperlink"/>
                </w:rPr>
                <w:t>-PR-0005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A" w14:textId="77777777" w:rsidR="00A00DBD" w:rsidRDefault="00A00DBD" w:rsidP="005A33B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B" w14:textId="77777777" w:rsidR="00A00DBD" w:rsidRDefault="00A00DBD" w:rsidP="005A33B4">
            <w:pPr>
              <w:pStyle w:val="BMSBodyText"/>
            </w:pPr>
            <w:r>
              <w:t>Incident Investigation and Report</w:t>
            </w:r>
          </w:p>
        </w:tc>
      </w:tr>
      <w:tr w:rsidR="00963DEF" w:rsidRPr="009A5868" w14:paraId="4A0DB8B0" w14:textId="77777777" w:rsidTr="006C5B10">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D" w14:textId="77777777" w:rsidR="00963DEF" w:rsidRPr="0011104B" w:rsidRDefault="00623598" w:rsidP="007B146A">
            <w:pPr>
              <w:pStyle w:val="BMSBodyText"/>
              <w:rPr>
                <w:color w:val="FF0000"/>
              </w:rPr>
            </w:pPr>
            <w:hyperlink r:id="rId36" w:history="1">
              <w:r w:rsidR="007B146A" w:rsidRPr="007B146A">
                <w:rPr>
                  <w:rStyle w:val="Hyperlink"/>
                </w:rPr>
                <w:t>HSES</w:t>
              </w:r>
              <w:r w:rsidR="00963DEF" w:rsidRPr="007B146A">
                <w:rPr>
                  <w:rStyle w:val="Hyperlink"/>
                </w:rPr>
                <w:t>-PR-00</w:t>
              </w:r>
              <w:r w:rsidR="007B146A" w:rsidRPr="007B146A">
                <w:rPr>
                  <w:rStyle w:val="Hyperlink"/>
                </w:rPr>
                <w:t>11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E" w14:textId="77777777" w:rsidR="00963DEF" w:rsidRPr="009A5868" w:rsidRDefault="00963DEF" w:rsidP="005A33B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AF" w14:textId="77777777" w:rsidR="00963DEF" w:rsidRPr="009A5868" w:rsidRDefault="00963DEF" w:rsidP="005A33B4">
            <w:pPr>
              <w:pStyle w:val="BMSBodyText"/>
            </w:pPr>
            <w:r>
              <w:t>Setting People to Work Safely</w:t>
            </w:r>
          </w:p>
        </w:tc>
      </w:tr>
      <w:tr w:rsidR="00963DEF" w:rsidRPr="009A5868" w14:paraId="4A0DB8B4" w14:textId="77777777" w:rsidTr="006C5B1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1" w14:textId="77777777" w:rsidR="00963DEF" w:rsidRPr="009A5868" w:rsidRDefault="00623598" w:rsidP="005A33B4">
            <w:pPr>
              <w:pStyle w:val="BMSBodyText"/>
            </w:pPr>
            <w:hyperlink r:id="rId37" w:history="1">
              <w:r w:rsidR="00963DEF" w:rsidRPr="00657753">
                <w:rPr>
                  <w:rStyle w:val="Hyperlink"/>
                </w:rPr>
                <w:t>HSF-PR-0035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2" w14:textId="77777777" w:rsidR="00963DEF" w:rsidRPr="009A5868" w:rsidRDefault="00963DEF" w:rsidP="005A33B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3" w14:textId="77777777" w:rsidR="00963DEF" w:rsidRPr="009A5868" w:rsidRDefault="00963DEF" w:rsidP="005A33B4">
            <w:pPr>
              <w:pStyle w:val="BMSBodyText"/>
            </w:pPr>
            <w:r>
              <w:t>Occupational Health Surveillance/Assessment</w:t>
            </w:r>
          </w:p>
        </w:tc>
      </w:tr>
      <w:tr w:rsidR="00F83F8A" w:rsidRPr="009A5868" w14:paraId="4A0DB8B8" w14:textId="77777777" w:rsidTr="006C5B1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5" w14:textId="77777777" w:rsidR="00F83F8A" w:rsidRPr="00F83F8A" w:rsidRDefault="00623598" w:rsidP="005A33B4">
            <w:pPr>
              <w:pStyle w:val="BMSBodyText"/>
            </w:pPr>
            <w:hyperlink r:id="rId38" w:history="1">
              <w:r w:rsidR="00657753" w:rsidRPr="00657753">
                <w:rPr>
                  <w:rStyle w:val="Hyperlink"/>
                  <w:rFonts w:cstheme="minorHAnsi"/>
                </w:rPr>
                <w:t>OPS-PR-244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6" w14:textId="77777777" w:rsidR="00F83F8A" w:rsidRDefault="00F83F8A" w:rsidP="005A33B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7" w14:textId="77777777" w:rsidR="00F83F8A" w:rsidRPr="00F83F8A" w:rsidRDefault="00F83F8A" w:rsidP="00D07D98">
            <w:pPr>
              <w:pStyle w:val="BMSBodyText"/>
            </w:pPr>
            <w:r w:rsidRPr="00F83F8A">
              <w:rPr>
                <w:rFonts w:cstheme="minorHAnsi"/>
              </w:rPr>
              <w:t>Hand</w:t>
            </w:r>
            <w:r w:rsidR="00D07D98">
              <w:rPr>
                <w:rFonts w:cstheme="minorHAnsi"/>
              </w:rPr>
              <w:t>-a</w:t>
            </w:r>
            <w:r w:rsidRPr="00F83F8A">
              <w:rPr>
                <w:rFonts w:cstheme="minorHAnsi"/>
              </w:rPr>
              <w:t>rm</w:t>
            </w:r>
            <w:r w:rsidR="008F3A58">
              <w:rPr>
                <w:rFonts w:cstheme="minorHAnsi"/>
              </w:rPr>
              <w:t xml:space="preserve"> Vibration Monitoring Equipment</w:t>
            </w:r>
          </w:p>
        </w:tc>
      </w:tr>
      <w:tr w:rsidR="00A00DBD" w:rsidRPr="009A5868" w14:paraId="4A0DB8BC" w14:textId="77777777" w:rsidTr="006C5B1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9" w14:textId="77777777" w:rsidR="00A00DBD" w:rsidRPr="00657753" w:rsidRDefault="00623598" w:rsidP="005A33B4">
            <w:pPr>
              <w:pStyle w:val="BMSBodyText"/>
              <w:rPr>
                <w:rFonts w:cstheme="minorHAnsi"/>
                <w:highlight w:val="yellow"/>
              </w:rPr>
            </w:pPr>
            <w:hyperlink r:id="rId39" w:history="1">
              <w:r w:rsidR="00A00DBD" w:rsidRPr="00513FDC">
                <w:rPr>
                  <w:rStyle w:val="Hyperlink"/>
                  <w:rFonts w:cstheme="minorHAnsi"/>
                </w:rPr>
                <w:t>HSF-RM-0060a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A" w14:textId="77777777" w:rsidR="00A00DBD" w:rsidRDefault="00A00DBD" w:rsidP="005A33B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B" w14:textId="77777777" w:rsidR="00A00DBD" w:rsidRPr="00F83F8A" w:rsidRDefault="00EE259D" w:rsidP="00D07D98">
            <w:pPr>
              <w:pStyle w:val="BMSBodyText"/>
              <w:rPr>
                <w:rFonts w:cstheme="minorHAnsi"/>
              </w:rPr>
            </w:pPr>
            <w:r>
              <w:rPr>
                <w:rFonts w:cstheme="minorHAnsi"/>
              </w:rPr>
              <w:t>Hand-arm Vibration</w:t>
            </w:r>
            <w:r w:rsidR="00A00DBD">
              <w:rPr>
                <w:rFonts w:cstheme="minorHAnsi"/>
              </w:rPr>
              <w:t xml:space="preserve"> – Guide for Managers</w:t>
            </w:r>
          </w:p>
        </w:tc>
      </w:tr>
      <w:tr w:rsidR="00A00DBD" w:rsidRPr="009A5868" w14:paraId="4A0DB8C0" w14:textId="77777777" w:rsidTr="006C5B1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D" w14:textId="77777777" w:rsidR="00A00DBD" w:rsidRPr="00657753" w:rsidRDefault="00623598" w:rsidP="005A33B4">
            <w:pPr>
              <w:pStyle w:val="BMSBodyText"/>
              <w:rPr>
                <w:rFonts w:cstheme="minorHAnsi"/>
                <w:highlight w:val="yellow"/>
              </w:rPr>
            </w:pPr>
            <w:hyperlink r:id="rId40" w:history="1">
              <w:r w:rsidR="00A00DBD" w:rsidRPr="00513FDC">
                <w:rPr>
                  <w:rStyle w:val="Hyperlink"/>
                  <w:rFonts w:cstheme="minorHAnsi"/>
                </w:rPr>
                <w:t>HSF-RM-0060b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E" w14:textId="77777777" w:rsidR="00A00DBD" w:rsidRDefault="00A00DBD" w:rsidP="005A33B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BF" w14:textId="77777777" w:rsidR="00A00DBD" w:rsidRDefault="00EE259D" w:rsidP="00EE259D">
            <w:pPr>
              <w:pStyle w:val="BMSBodyText"/>
              <w:rPr>
                <w:rFonts w:cstheme="minorHAnsi"/>
              </w:rPr>
            </w:pPr>
            <w:r>
              <w:rPr>
                <w:rFonts w:cstheme="minorHAnsi"/>
              </w:rPr>
              <w:t>Hand-arm Vibration – Guide for Operatives</w:t>
            </w:r>
          </w:p>
        </w:tc>
      </w:tr>
    </w:tbl>
    <w:p w14:paraId="4A0DB8C1" w14:textId="77777777" w:rsidR="00963DEF" w:rsidRPr="009A5868" w:rsidRDefault="00963DEF" w:rsidP="00963DEF">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4274"/>
        <w:gridCol w:w="2693"/>
        <w:gridCol w:w="1843"/>
      </w:tblGrid>
      <w:tr w:rsidR="00963DEF" w:rsidRPr="009A5868" w14:paraId="4A0DB8C3" w14:textId="77777777" w:rsidTr="008F3A58">
        <w:trPr>
          <w:cantSplit/>
          <w:tblHeader/>
        </w:trPr>
        <w:tc>
          <w:tcPr>
            <w:tcW w:w="10598" w:type="dxa"/>
            <w:gridSpan w:val="4"/>
            <w:tcBorders>
              <w:bottom w:val="single" w:sz="4" w:space="0" w:color="BFBFBF" w:themeColor="background1" w:themeShade="BF"/>
            </w:tcBorders>
          </w:tcPr>
          <w:p w14:paraId="4A0DB8C2" w14:textId="77777777" w:rsidR="00963DEF" w:rsidRPr="008C2EB8" w:rsidRDefault="00963DEF" w:rsidP="005A33B4">
            <w:pPr>
              <w:pStyle w:val="BMSMainHeading"/>
            </w:pPr>
            <w:r w:rsidRPr="009A5868">
              <w:t>OuTPUTS</w:t>
            </w:r>
          </w:p>
        </w:tc>
      </w:tr>
      <w:tr w:rsidR="00963DEF" w:rsidRPr="006D3E21" w14:paraId="4A0DB8C8" w14:textId="77777777" w:rsidTr="008F3A58">
        <w:trPr>
          <w:cantSplit/>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4" w14:textId="77777777" w:rsidR="00963DEF" w:rsidRPr="006D3E21" w:rsidRDefault="00963DEF" w:rsidP="005A33B4">
            <w:pPr>
              <w:pStyle w:val="BMSBodyText"/>
              <w:rPr>
                <w:b/>
              </w:rPr>
            </w:pPr>
            <w:r w:rsidRPr="006D3E21">
              <w:rPr>
                <w:b/>
              </w:rPr>
              <w:t>Reference No.</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5" w14:textId="77777777" w:rsidR="00963DEF" w:rsidRPr="006D3E21" w:rsidRDefault="00963DEF" w:rsidP="005A33B4">
            <w:pPr>
              <w:pStyle w:val="BMSBodyText"/>
              <w:rPr>
                <w:b/>
              </w:rPr>
            </w:pPr>
            <w:r w:rsidRPr="006D3E21">
              <w:rPr>
                <w:b/>
              </w:rPr>
              <w:t>Document Title</w:t>
            </w:r>
          </w:p>
        </w:tc>
        <w:tc>
          <w:tcPr>
            <w:tcW w:w="26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6" w14:textId="77777777" w:rsidR="00963DEF" w:rsidRPr="006D3E21" w:rsidRDefault="00963DEF" w:rsidP="005A33B4">
            <w:pPr>
              <w:pStyle w:val="BMSBodyT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7" w14:textId="77777777" w:rsidR="00963DEF" w:rsidRPr="006D3E21" w:rsidRDefault="00963DEF" w:rsidP="005A33B4">
            <w:pPr>
              <w:pStyle w:val="BMSBodyText"/>
              <w:rPr>
                <w:b/>
              </w:rPr>
            </w:pPr>
            <w:r w:rsidRPr="006D3E21">
              <w:rPr>
                <w:b/>
              </w:rPr>
              <w:t>Responsibility</w:t>
            </w:r>
          </w:p>
        </w:tc>
      </w:tr>
      <w:tr w:rsidR="00963DEF" w:rsidRPr="009A5868" w14:paraId="4A0DB8CD" w14:textId="77777777" w:rsidTr="008F3A58">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9" w14:textId="77777777" w:rsidR="00963DEF" w:rsidRPr="00963DEF" w:rsidRDefault="00623598" w:rsidP="005A33B4">
            <w:pPr>
              <w:pStyle w:val="BMSBodyText"/>
            </w:pPr>
            <w:hyperlink r:id="rId41" w:history="1">
              <w:r w:rsidR="00BA270F" w:rsidRPr="00BA270F">
                <w:rPr>
                  <w:rStyle w:val="Hyperlink"/>
                  <w:rFonts w:cstheme="minorHAnsi"/>
                </w:rPr>
                <w:t>HSES-TF-0010</w:t>
              </w:r>
              <w:r w:rsidR="00963DEF" w:rsidRPr="00BA270F">
                <w:rPr>
                  <w:rStyle w:val="Hyperlink"/>
                  <w:rFonts w:cstheme="minorHAnsi"/>
                </w:rPr>
                <w:t>c</w:t>
              </w:r>
            </w:hyperlink>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A" w14:textId="77777777" w:rsidR="00963DEF" w:rsidRPr="00963DEF" w:rsidRDefault="00963DEF" w:rsidP="005A33B4">
            <w:pPr>
              <w:pStyle w:val="BMSBodyText"/>
            </w:pPr>
            <w:r w:rsidRPr="00963DEF">
              <w:t>Pre-Start Subcontractors Meeting</w:t>
            </w:r>
          </w:p>
        </w:tc>
        <w:tc>
          <w:tcPr>
            <w:tcW w:w="26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B" w14:textId="77777777" w:rsidR="00963DEF" w:rsidRPr="00963DEF" w:rsidRDefault="00963DEF" w:rsidP="005A33B4">
            <w:pPr>
              <w:pStyle w:val="BMSBodyText"/>
            </w:pPr>
            <w:r>
              <w:t>6/</w:t>
            </w:r>
            <w:r w:rsidRPr="00963DEF">
              <w:t>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C" w14:textId="77777777" w:rsidR="00963DEF" w:rsidRPr="00963DEF" w:rsidRDefault="00963DEF" w:rsidP="005A33B4">
            <w:pPr>
              <w:pStyle w:val="BMSBodyText"/>
            </w:pPr>
            <w:r w:rsidRPr="00963DEF">
              <w:t>Site Lead</w:t>
            </w:r>
          </w:p>
        </w:tc>
      </w:tr>
      <w:tr w:rsidR="0011104B" w:rsidRPr="009A5868" w14:paraId="4A0DB8D2" w14:textId="77777777" w:rsidTr="008F3A58">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E" w14:textId="77777777" w:rsidR="0011104B" w:rsidRPr="00657753" w:rsidRDefault="00623598" w:rsidP="005A33B4">
            <w:pPr>
              <w:pStyle w:val="BMSBodyText"/>
              <w:rPr>
                <w:rFonts w:cstheme="minorHAnsi"/>
                <w:highlight w:val="yellow"/>
              </w:rPr>
            </w:pPr>
            <w:hyperlink r:id="rId42" w:history="1">
              <w:r w:rsidR="0011104B" w:rsidRPr="00513FDC">
                <w:rPr>
                  <w:rStyle w:val="Hyperlink"/>
                  <w:rFonts w:cstheme="minorHAnsi"/>
                </w:rPr>
                <w:t>HSF-SF-0060a</w:t>
              </w:r>
            </w:hyperlink>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CF" w14:textId="77777777" w:rsidR="0011104B" w:rsidRDefault="0011104B" w:rsidP="005A33B4">
            <w:pPr>
              <w:pStyle w:val="BMSBodyText"/>
            </w:pPr>
            <w:r w:rsidRPr="00A85E19">
              <w:rPr>
                <w:rFonts w:cstheme="minorHAnsi"/>
              </w:rPr>
              <w:t>HAVS Investigation</w:t>
            </w:r>
          </w:p>
        </w:tc>
        <w:tc>
          <w:tcPr>
            <w:tcW w:w="26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0" w14:textId="77777777" w:rsidR="0011104B" w:rsidRDefault="008254DC" w:rsidP="008254DC">
            <w:pPr>
              <w:pStyle w:val="BMSBodyText"/>
            </w:pPr>
            <w:r>
              <w:t>Duration of employmen</w:t>
            </w:r>
            <w:r w:rsidR="00A97493">
              <w:t>t +</w:t>
            </w:r>
            <w:r>
              <w:t xml:space="preserve"> 7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1" w14:textId="77777777" w:rsidR="0011104B" w:rsidRDefault="0011104B" w:rsidP="005A33B4">
            <w:pPr>
              <w:pStyle w:val="BMSBodyText"/>
            </w:pPr>
            <w:r>
              <w:t>Occupational Health</w:t>
            </w:r>
            <w:r w:rsidR="00F83F8A">
              <w:t xml:space="preserve"> / iSMS</w:t>
            </w:r>
          </w:p>
        </w:tc>
      </w:tr>
      <w:tr w:rsidR="003B40CE" w:rsidRPr="009A5868" w14:paraId="4A0DB8D7" w14:textId="77777777" w:rsidTr="008F3A58">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3" w14:textId="77777777" w:rsidR="003B40CE" w:rsidRDefault="00623598" w:rsidP="005A33B4">
            <w:pPr>
              <w:pStyle w:val="BMSBodyText"/>
            </w:pPr>
            <w:hyperlink r:id="rId43" w:history="1">
              <w:r w:rsidR="003B40CE" w:rsidRPr="003B40CE">
                <w:rPr>
                  <w:rStyle w:val="Hyperlink"/>
                </w:rPr>
                <w:t>HSES-SF-0011a</w:t>
              </w:r>
            </w:hyperlink>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4" w14:textId="77777777" w:rsidR="003B40CE" w:rsidRDefault="003B40CE" w:rsidP="005A33B4">
            <w:pPr>
              <w:pStyle w:val="BMSBodyText"/>
            </w:pPr>
            <w:r>
              <w:t>Briefing Attendance Record</w:t>
            </w:r>
          </w:p>
        </w:tc>
        <w:tc>
          <w:tcPr>
            <w:tcW w:w="26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5" w14:textId="77777777" w:rsidR="003B40CE" w:rsidRDefault="003B40CE" w:rsidP="00F83F8A">
            <w:pPr>
              <w:pStyle w:val="BMSBodyText"/>
            </w:pPr>
            <w: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6" w14:textId="77777777" w:rsidR="003B40CE" w:rsidRDefault="003B40CE" w:rsidP="005A33B4">
            <w:pPr>
              <w:pStyle w:val="BMSBodyText"/>
            </w:pPr>
            <w:r>
              <w:t>Site Lead</w:t>
            </w:r>
          </w:p>
        </w:tc>
      </w:tr>
      <w:tr w:rsidR="00A454D1" w:rsidRPr="009A5868" w14:paraId="4A0DB8DC" w14:textId="77777777" w:rsidTr="008F3A58">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8" w14:textId="77777777" w:rsidR="00A454D1" w:rsidRDefault="00623598" w:rsidP="005A33B4">
            <w:pPr>
              <w:pStyle w:val="BMSBodyText"/>
            </w:pPr>
            <w:hyperlink r:id="rId44" w:history="1">
              <w:r w:rsidR="00931001" w:rsidRPr="004D61BB">
                <w:rPr>
                  <w:rStyle w:val="Hyperlink"/>
                  <w:rFonts w:cstheme="minorHAnsi"/>
                </w:rPr>
                <w:t>HSF-SF-0060b</w:t>
              </w:r>
            </w:hyperlink>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9" w14:textId="77777777" w:rsidR="00A454D1" w:rsidRDefault="00A454D1" w:rsidP="002C3CD9">
            <w:pPr>
              <w:pStyle w:val="BMSBodyText"/>
            </w:pPr>
            <w:r>
              <w:t>Hand Arm Vibration Risk Assessment</w:t>
            </w:r>
          </w:p>
        </w:tc>
        <w:tc>
          <w:tcPr>
            <w:tcW w:w="26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A" w14:textId="77777777" w:rsidR="00A454D1" w:rsidRDefault="00A454D1" w:rsidP="00F83F8A">
            <w:pPr>
              <w:pStyle w:val="BMSBodyText"/>
            </w:pPr>
            <w:r>
              <w:t>Duration of project + 7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0DB8DB" w14:textId="77777777" w:rsidR="00A454D1" w:rsidRDefault="00A454D1" w:rsidP="005A33B4">
            <w:pPr>
              <w:pStyle w:val="BMSBodyText"/>
            </w:pPr>
            <w:r>
              <w:t>Site Lead</w:t>
            </w:r>
          </w:p>
        </w:tc>
      </w:tr>
    </w:tbl>
    <w:p w14:paraId="4A0DB8DD" w14:textId="77777777" w:rsidR="00510249" w:rsidRPr="006D3E21" w:rsidRDefault="00510249" w:rsidP="006D3E21">
      <w:pPr>
        <w:pStyle w:val="BMSBodyText"/>
        <w:rPr>
          <w:b/>
        </w:rPr>
      </w:pPr>
    </w:p>
    <w:sectPr w:rsidR="00510249" w:rsidRPr="006D3E21" w:rsidSect="006D3E21">
      <w:headerReference w:type="default" r:id="rId45"/>
      <w:footerReference w:type="default" r:id="rId46"/>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DB8E0" w14:textId="77777777" w:rsidR="002124D3" w:rsidRDefault="002124D3" w:rsidP="0003527C">
      <w:pPr>
        <w:spacing w:after="0" w:line="240" w:lineRule="auto"/>
      </w:pPr>
      <w:r>
        <w:separator/>
      </w:r>
    </w:p>
  </w:endnote>
  <w:endnote w:type="continuationSeparator" w:id="0">
    <w:p w14:paraId="4A0DB8E1" w14:textId="77777777" w:rsidR="002124D3" w:rsidRDefault="002124D3"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4A0DB8EA" w14:textId="77777777" w:rsidTr="00170690">
      <w:tc>
        <w:tcPr>
          <w:tcW w:w="2235" w:type="dxa"/>
        </w:tcPr>
        <w:p w14:paraId="4A0DB8E7" w14:textId="77777777" w:rsidR="000512D3" w:rsidRPr="00170690" w:rsidRDefault="000512D3" w:rsidP="005A33B4">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4A0DB8E8" w14:textId="423318B8" w:rsidR="000512D3" w:rsidRPr="00170690" w:rsidRDefault="006C56A8" w:rsidP="005A33B4">
              <w:pPr>
                <w:pStyle w:val="BMSFooterText"/>
                <w:rPr>
                  <w:sz w:val="18"/>
                </w:rPr>
              </w:pPr>
              <w:r>
                <w:rPr>
                  <w:sz w:val="18"/>
                  <w:lang w:val="en-GB"/>
                </w:rPr>
                <w:t>Andrea Dolphin</w:t>
              </w:r>
            </w:p>
          </w:tc>
        </w:sdtContent>
      </w:sdt>
      <w:tc>
        <w:tcPr>
          <w:tcW w:w="3866" w:type="dxa"/>
        </w:tcPr>
        <w:p w14:paraId="4A0DB8E9" w14:textId="77777777" w:rsidR="000512D3" w:rsidRPr="00170690" w:rsidRDefault="000512D3" w:rsidP="005A33B4">
          <w:pPr>
            <w:pStyle w:val="BMSFooterText"/>
            <w:jc w:val="right"/>
            <w:rPr>
              <w:sz w:val="18"/>
            </w:rPr>
          </w:pPr>
          <w:r w:rsidRPr="00170690">
            <w:rPr>
              <w:sz w:val="18"/>
            </w:rPr>
            <w:t>Uncontrolled when printed or downloaded</w:t>
          </w:r>
        </w:p>
      </w:tc>
    </w:tr>
    <w:tr w:rsidR="000512D3" w:rsidRPr="00170690" w14:paraId="4A0DB8F1" w14:textId="77777777" w:rsidTr="00170690">
      <w:tc>
        <w:tcPr>
          <w:tcW w:w="2235" w:type="dxa"/>
        </w:tcPr>
        <w:p w14:paraId="4A0DB8EB" w14:textId="77777777" w:rsidR="000512D3" w:rsidRPr="00170690" w:rsidRDefault="000512D3" w:rsidP="005A33B4">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10-07T00:00:00Z">
            <w:dateFormat w:val="dd/MM/yyyy"/>
            <w:lid w:val="en-GB"/>
            <w:storeMappedDataAs w:val="dateTime"/>
            <w:calendar w:val="gregorian"/>
          </w:date>
        </w:sdtPr>
        <w:sdtEndPr/>
        <w:sdtContent>
          <w:tc>
            <w:tcPr>
              <w:tcW w:w="1638" w:type="dxa"/>
            </w:tcPr>
            <w:p w14:paraId="4A0DB8EC" w14:textId="7D7E74F2" w:rsidR="000512D3" w:rsidRPr="00170690" w:rsidRDefault="001B322B" w:rsidP="005A33B4">
              <w:pPr>
                <w:pStyle w:val="BMSFooterText"/>
                <w:rPr>
                  <w:sz w:val="18"/>
                </w:rPr>
              </w:pPr>
              <w:r>
                <w:rPr>
                  <w:sz w:val="18"/>
                  <w:lang w:val="en-GB"/>
                </w:rPr>
                <w:t>07/10/2019</w:t>
              </w:r>
            </w:p>
          </w:tc>
        </w:sdtContent>
      </w:sdt>
      <w:tc>
        <w:tcPr>
          <w:tcW w:w="1251" w:type="dxa"/>
        </w:tcPr>
        <w:p w14:paraId="4A0DB8ED" w14:textId="77777777" w:rsidR="000512D3" w:rsidRPr="00170690" w:rsidRDefault="000512D3" w:rsidP="005A33B4">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6C56A8">
            <w:rPr>
              <w:noProof/>
              <w:sz w:val="18"/>
            </w:rPr>
            <w:t>1</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6C56A8">
            <w:rPr>
              <w:noProof/>
              <w:sz w:val="18"/>
            </w:rPr>
            <w:t>6</w:t>
          </w:r>
          <w:r w:rsidR="00FA7BD4" w:rsidRPr="00170690">
            <w:rPr>
              <w:noProof/>
              <w:sz w:val="18"/>
            </w:rPr>
            <w:fldChar w:fldCharType="end"/>
          </w:r>
        </w:p>
      </w:tc>
      <w:tc>
        <w:tcPr>
          <w:tcW w:w="914" w:type="dxa"/>
        </w:tcPr>
        <w:p w14:paraId="4A0DB8EE" w14:textId="77777777" w:rsidR="000512D3" w:rsidRPr="00170690" w:rsidRDefault="000512D3" w:rsidP="005A33B4">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4A0DB8EF" w14:textId="6A1EC003" w:rsidR="000512D3" w:rsidRPr="00170690" w:rsidRDefault="001B322B" w:rsidP="005A33B4">
              <w:pPr>
                <w:pStyle w:val="BMSFooterText"/>
                <w:rPr>
                  <w:sz w:val="18"/>
                </w:rPr>
              </w:pPr>
              <w:r>
                <w:rPr>
                  <w:sz w:val="18"/>
                </w:rPr>
                <w:t>2.1</w:t>
              </w:r>
            </w:p>
          </w:tc>
        </w:sdtContent>
      </w:sdt>
      <w:tc>
        <w:tcPr>
          <w:tcW w:w="3866" w:type="dxa"/>
        </w:tcPr>
        <w:p w14:paraId="4A0DB8F0" w14:textId="77777777"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6362E0">
                <w:rPr>
                  <w:sz w:val="18"/>
                  <w:lang w:val="en-GB"/>
                </w:rPr>
                <w:t>UK</w:t>
              </w:r>
            </w:sdtContent>
          </w:sdt>
          <w:r w:rsidR="007E694D" w:rsidRPr="00170690">
            <w:rPr>
              <w:sz w:val="18"/>
            </w:rPr>
            <w:t xml:space="preserve"> </w:t>
          </w:r>
          <w:r w:rsidRPr="00170690">
            <w:rPr>
              <w:sz w:val="18"/>
            </w:rPr>
            <w:t>Document</w:t>
          </w:r>
        </w:p>
      </w:tc>
    </w:tr>
  </w:tbl>
  <w:p w14:paraId="4A0DB8F2"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DB8DE" w14:textId="77777777" w:rsidR="002124D3" w:rsidRDefault="002124D3" w:rsidP="0003527C">
      <w:pPr>
        <w:spacing w:after="0" w:line="240" w:lineRule="auto"/>
      </w:pPr>
      <w:r>
        <w:separator/>
      </w:r>
    </w:p>
  </w:footnote>
  <w:footnote w:type="continuationSeparator" w:id="0">
    <w:p w14:paraId="4A0DB8DF" w14:textId="77777777" w:rsidR="002124D3" w:rsidRDefault="002124D3"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4A0DB8E5" w14:textId="77777777" w:rsidTr="005A33B4">
      <w:trPr>
        <w:cantSplit/>
        <w:trHeight w:hRule="exact" w:val="1077"/>
      </w:trPr>
      <w:tc>
        <w:tcPr>
          <w:tcW w:w="2977" w:type="dxa"/>
        </w:tcPr>
        <w:p w14:paraId="4A0DB8E2" w14:textId="77777777" w:rsidR="000512D3" w:rsidRDefault="000512D3" w:rsidP="005A33B4">
          <w:r>
            <w:rPr>
              <w:noProof/>
              <w:lang w:val="en-GB" w:eastAsia="en-GB"/>
            </w:rPr>
            <w:drawing>
              <wp:anchor distT="0" distB="0" distL="114300" distR="114300" simplePos="0" relativeHeight="251657216" behindDoc="0" locked="0" layoutInCell="1" allowOverlap="1" wp14:anchorId="4A0DB8F3" wp14:editId="4A0DB8F4">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dataBinding w:prefixMappings="xmlns:ns0='http://purl.org/dc/elements/1.1/' xmlns:ns1='http://schemas.openxmlformats.org/package/2006/metadata/core-properties' " w:xpath="/ns1:coreProperties[1]/ns0:title[1]" w:storeItemID="{6C3C8BC8-F283-45AE-878A-BAB7291924A1}"/>
            <w:text/>
          </w:sdtPr>
          <w:sdtEndPr/>
          <w:sdtContent>
            <w:p w14:paraId="4A0DB8E3" w14:textId="77777777" w:rsidR="00ED1522" w:rsidRDefault="00510249" w:rsidP="0003108D">
              <w:pPr>
                <w:pStyle w:val="BMSTitleinHeader"/>
                <w:rPr>
                  <w:kern w:val="0"/>
                  <w:szCs w:val="28"/>
                </w:rPr>
              </w:pPr>
              <w:r>
                <w:rPr>
                  <w:kern w:val="0"/>
                  <w:szCs w:val="28"/>
                </w:rPr>
                <w:t>Hand</w:t>
              </w:r>
              <w:r w:rsidR="00D07D98">
                <w:rPr>
                  <w:kern w:val="0"/>
                  <w:szCs w:val="28"/>
                </w:rPr>
                <w:t>-</w:t>
              </w:r>
              <w:r>
                <w:rPr>
                  <w:kern w:val="0"/>
                  <w:szCs w:val="28"/>
                </w:rPr>
                <w:t>Arm Vibration</w:t>
              </w:r>
            </w:p>
          </w:sdtContent>
        </w:sdt>
        <w:p w14:paraId="4A0DB8E4" w14:textId="77777777" w:rsidR="000512D3" w:rsidRDefault="00623598" w:rsidP="00E41B44">
          <w:pPr>
            <w:pStyle w:val="BMSTitleinHeader"/>
          </w:pPr>
          <w:sdt>
            <w:sdtPr>
              <w:rPr>
                <w:kern w:val="0"/>
                <w:szCs w:val="28"/>
              </w:rPr>
              <w:alias w:val="Document Type"/>
              <w:tag w:val="oc3d3a3ff14440768ba3133f25344e09"/>
              <w:id w:val="403650787"/>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6362E0">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CA5D77">
                <w:rPr>
                  <w:kern w:val="0"/>
                  <w:szCs w:val="28"/>
                </w:rPr>
                <w:t>HSF-PR-0060</w:t>
              </w:r>
            </w:sdtContent>
          </w:sdt>
        </w:p>
      </w:tc>
    </w:tr>
  </w:tbl>
  <w:p w14:paraId="4A0DB8E6" w14:textId="77777777" w:rsidR="000512D3" w:rsidRPr="00FD6CC3" w:rsidRDefault="000512D3" w:rsidP="000512D3">
    <w:pPr>
      <w:pStyle w:val="BMSTitleinHeader"/>
      <w:spacing w:before="60" w:after="60"/>
      <w:jc w:val="lef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716A42"/>
    <w:multiLevelType w:val="hybridMultilevel"/>
    <w:tmpl w:val="68C01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E54F28"/>
    <w:multiLevelType w:val="hybridMultilevel"/>
    <w:tmpl w:val="13726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48505AC"/>
    <w:multiLevelType w:val="hybridMultilevel"/>
    <w:tmpl w:val="B3D6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460F65"/>
    <w:multiLevelType w:val="hybridMultilevel"/>
    <w:tmpl w:val="4CB06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80407E"/>
    <w:multiLevelType w:val="hybridMultilevel"/>
    <w:tmpl w:val="B8505D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57923179"/>
    <w:multiLevelType w:val="hybridMultilevel"/>
    <w:tmpl w:val="DE24A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710FD4"/>
    <w:multiLevelType w:val="hybridMultilevel"/>
    <w:tmpl w:val="C2D040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2"/>
  </w:num>
  <w:num w:numId="4">
    <w:abstractNumId w:val="8"/>
  </w:num>
  <w:num w:numId="5">
    <w:abstractNumId w:val="9"/>
  </w:num>
  <w:num w:numId="6">
    <w:abstractNumId w:val="4"/>
  </w:num>
  <w:num w:numId="7">
    <w:abstractNumId w:val="0"/>
  </w:num>
  <w:num w:numId="8">
    <w:abstractNumId w:val="10"/>
  </w:num>
  <w:num w:numId="9">
    <w:abstractNumId w:val="5"/>
  </w:num>
  <w:num w:numId="10">
    <w:abstractNumId w:val="6"/>
  </w:num>
  <w:num w:numId="11">
    <w:abstractNumId w:val="3"/>
  </w:num>
  <w:num w:numId="12">
    <w:abstractNumId w:val="7"/>
  </w:num>
  <w:num w:numId="13">
    <w:abstractNumId w:val="2"/>
  </w:num>
  <w:num w:numId="14">
    <w:abstractNumId w:val="11"/>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22902"/>
    <w:rsid w:val="0003108D"/>
    <w:rsid w:val="0003527C"/>
    <w:rsid w:val="000512D3"/>
    <w:rsid w:val="0006524D"/>
    <w:rsid w:val="000704A5"/>
    <w:rsid w:val="00076CCD"/>
    <w:rsid w:val="000B7D18"/>
    <w:rsid w:val="000C0C5C"/>
    <w:rsid w:val="000D2F6B"/>
    <w:rsid w:val="000D5FD4"/>
    <w:rsid w:val="00103382"/>
    <w:rsid w:val="00104F21"/>
    <w:rsid w:val="0011104B"/>
    <w:rsid w:val="00113DCC"/>
    <w:rsid w:val="0011454C"/>
    <w:rsid w:val="00136595"/>
    <w:rsid w:val="00160027"/>
    <w:rsid w:val="00170690"/>
    <w:rsid w:val="00175474"/>
    <w:rsid w:val="001821A4"/>
    <w:rsid w:val="0019386E"/>
    <w:rsid w:val="001A036B"/>
    <w:rsid w:val="001A67D7"/>
    <w:rsid w:val="001B322B"/>
    <w:rsid w:val="001D650C"/>
    <w:rsid w:val="001E0627"/>
    <w:rsid w:val="002124D3"/>
    <w:rsid w:val="00217CF5"/>
    <w:rsid w:val="00224119"/>
    <w:rsid w:val="00232A84"/>
    <w:rsid w:val="00240809"/>
    <w:rsid w:val="0025201E"/>
    <w:rsid w:val="00287F34"/>
    <w:rsid w:val="00290C81"/>
    <w:rsid w:val="00296B78"/>
    <w:rsid w:val="002C3CD9"/>
    <w:rsid w:val="002F51C4"/>
    <w:rsid w:val="002F6314"/>
    <w:rsid w:val="00306BB0"/>
    <w:rsid w:val="00325198"/>
    <w:rsid w:val="00357CDF"/>
    <w:rsid w:val="003827CE"/>
    <w:rsid w:val="003923ED"/>
    <w:rsid w:val="0039567C"/>
    <w:rsid w:val="003A1610"/>
    <w:rsid w:val="003B1A8E"/>
    <w:rsid w:val="003B40CE"/>
    <w:rsid w:val="003B55CB"/>
    <w:rsid w:val="003D6E15"/>
    <w:rsid w:val="004271E2"/>
    <w:rsid w:val="00446EBF"/>
    <w:rsid w:val="004807C9"/>
    <w:rsid w:val="004B4B18"/>
    <w:rsid w:val="004C2DAC"/>
    <w:rsid w:val="004D61BB"/>
    <w:rsid w:val="004F6345"/>
    <w:rsid w:val="00503D71"/>
    <w:rsid w:val="0050463D"/>
    <w:rsid w:val="00510249"/>
    <w:rsid w:val="005137D2"/>
    <w:rsid w:val="00513FDC"/>
    <w:rsid w:val="00514DC0"/>
    <w:rsid w:val="005341DC"/>
    <w:rsid w:val="00536A2C"/>
    <w:rsid w:val="00561D99"/>
    <w:rsid w:val="00565C1E"/>
    <w:rsid w:val="00581C51"/>
    <w:rsid w:val="005A32CF"/>
    <w:rsid w:val="005A33B4"/>
    <w:rsid w:val="005D2105"/>
    <w:rsid w:val="005E4B33"/>
    <w:rsid w:val="005F0AA9"/>
    <w:rsid w:val="005F2FC1"/>
    <w:rsid w:val="006049B5"/>
    <w:rsid w:val="00620C4A"/>
    <w:rsid w:val="00623598"/>
    <w:rsid w:val="0063600C"/>
    <w:rsid w:val="006362E0"/>
    <w:rsid w:val="00640A33"/>
    <w:rsid w:val="00657753"/>
    <w:rsid w:val="006706A2"/>
    <w:rsid w:val="00693F7C"/>
    <w:rsid w:val="00695B37"/>
    <w:rsid w:val="006A0821"/>
    <w:rsid w:val="006A0891"/>
    <w:rsid w:val="006A24AD"/>
    <w:rsid w:val="006A5FB0"/>
    <w:rsid w:val="006C0C92"/>
    <w:rsid w:val="006C56A8"/>
    <w:rsid w:val="006C5B10"/>
    <w:rsid w:val="006D3E21"/>
    <w:rsid w:val="006E3140"/>
    <w:rsid w:val="006F1B10"/>
    <w:rsid w:val="00714B5F"/>
    <w:rsid w:val="00734C8E"/>
    <w:rsid w:val="00734F3E"/>
    <w:rsid w:val="00740BD4"/>
    <w:rsid w:val="00754D81"/>
    <w:rsid w:val="007555B3"/>
    <w:rsid w:val="007B146A"/>
    <w:rsid w:val="007C2B39"/>
    <w:rsid w:val="007D2879"/>
    <w:rsid w:val="007D5443"/>
    <w:rsid w:val="007E694D"/>
    <w:rsid w:val="007F0B65"/>
    <w:rsid w:val="007F2E8D"/>
    <w:rsid w:val="008254DC"/>
    <w:rsid w:val="00857F7A"/>
    <w:rsid w:val="00876C26"/>
    <w:rsid w:val="008819A7"/>
    <w:rsid w:val="008906D7"/>
    <w:rsid w:val="008A4897"/>
    <w:rsid w:val="008E1195"/>
    <w:rsid w:val="008E44AF"/>
    <w:rsid w:val="008E6D8B"/>
    <w:rsid w:val="008F3A58"/>
    <w:rsid w:val="008F4A9E"/>
    <w:rsid w:val="00904BFC"/>
    <w:rsid w:val="0092057B"/>
    <w:rsid w:val="00925EDA"/>
    <w:rsid w:val="00931001"/>
    <w:rsid w:val="00933F4A"/>
    <w:rsid w:val="00942DF8"/>
    <w:rsid w:val="0096128E"/>
    <w:rsid w:val="00963DEF"/>
    <w:rsid w:val="009A5868"/>
    <w:rsid w:val="009D774C"/>
    <w:rsid w:val="00A00DBD"/>
    <w:rsid w:val="00A2230D"/>
    <w:rsid w:val="00A22587"/>
    <w:rsid w:val="00A454D1"/>
    <w:rsid w:val="00A56427"/>
    <w:rsid w:val="00A56A49"/>
    <w:rsid w:val="00A659E7"/>
    <w:rsid w:val="00A660BD"/>
    <w:rsid w:val="00A743AF"/>
    <w:rsid w:val="00A8025E"/>
    <w:rsid w:val="00A87A22"/>
    <w:rsid w:val="00A93363"/>
    <w:rsid w:val="00A97493"/>
    <w:rsid w:val="00AA21B0"/>
    <w:rsid w:val="00AA2364"/>
    <w:rsid w:val="00AA6B12"/>
    <w:rsid w:val="00AA787B"/>
    <w:rsid w:val="00AF4C15"/>
    <w:rsid w:val="00B0037E"/>
    <w:rsid w:val="00B02B41"/>
    <w:rsid w:val="00B2181C"/>
    <w:rsid w:val="00B25A19"/>
    <w:rsid w:val="00B73695"/>
    <w:rsid w:val="00B76D58"/>
    <w:rsid w:val="00B830DD"/>
    <w:rsid w:val="00BA270F"/>
    <w:rsid w:val="00BD241A"/>
    <w:rsid w:val="00C01E0C"/>
    <w:rsid w:val="00C11C25"/>
    <w:rsid w:val="00C15F80"/>
    <w:rsid w:val="00C27184"/>
    <w:rsid w:val="00C4736C"/>
    <w:rsid w:val="00C67B2D"/>
    <w:rsid w:val="00C8252E"/>
    <w:rsid w:val="00C842BF"/>
    <w:rsid w:val="00C86B12"/>
    <w:rsid w:val="00C86B46"/>
    <w:rsid w:val="00CA0AB2"/>
    <w:rsid w:val="00CA364B"/>
    <w:rsid w:val="00CA5D77"/>
    <w:rsid w:val="00CB22B6"/>
    <w:rsid w:val="00CB45A0"/>
    <w:rsid w:val="00CF20B2"/>
    <w:rsid w:val="00D01D86"/>
    <w:rsid w:val="00D07D98"/>
    <w:rsid w:val="00D11924"/>
    <w:rsid w:val="00D25532"/>
    <w:rsid w:val="00D4781A"/>
    <w:rsid w:val="00D52474"/>
    <w:rsid w:val="00D92507"/>
    <w:rsid w:val="00D94301"/>
    <w:rsid w:val="00DA46B3"/>
    <w:rsid w:val="00DC0D8B"/>
    <w:rsid w:val="00DD1EF1"/>
    <w:rsid w:val="00DD5D51"/>
    <w:rsid w:val="00DE6D7B"/>
    <w:rsid w:val="00E2551F"/>
    <w:rsid w:val="00E41B44"/>
    <w:rsid w:val="00E45476"/>
    <w:rsid w:val="00E468CC"/>
    <w:rsid w:val="00E52E32"/>
    <w:rsid w:val="00E62F1C"/>
    <w:rsid w:val="00E7178A"/>
    <w:rsid w:val="00E878FF"/>
    <w:rsid w:val="00EB683B"/>
    <w:rsid w:val="00ED1522"/>
    <w:rsid w:val="00EE259D"/>
    <w:rsid w:val="00EF67ED"/>
    <w:rsid w:val="00F11000"/>
    <w:rsid w:val="00F46E52"/>
    <w:rsid w:val="00F57F63"/>
    <w:rsid w:val="00F83F8A"/>
    <w:rsid w:val="00FA1DE4"/>
    <w:rsid w:val="00FA7BD4"/>
    <w:rsid w:val="00FB7D24"/>
    <w:rsid w:val="00FD4A83"/>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0DB7BA"/>
  <w15:docId w15:val="{98B2EAA2-8C59-4F27-9A33-B269387D9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11104B"/>
    <w:rPr>
      <w:color w:val="0000FF" w:themeColor="hyperlink"/>
      <w:u w:val="single"/>
    </w:rPr>
  </w:style>
  <w:style w:type="character" w:styleId="FollowedHyperlink">
    <w:name w:val="FollowedHyperlink"/>
    <w:basedOn w:val="DefaultParagraphFont"/>
    <w:uiPriority w:val="99"/>
    <w:semiHidden/>
    <w:unhideWhenUsed/>
    <w:rsid w:val="00BA27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789377">
      <w:bodyDiv w:val="1"/>
      <w:marLeft w:val="0"/>
      <w:marRight w:val="0"/>
      <w:marTop w:val="0"/>
      <w:marBottom w:val="0"/>
      <w:divBdr>
        <w:top w:val="none" w:sz="0" w:space="0" w:color="auto"/>
        <w:left w:val="none" w:sz="0" w:space="0" w:color="auto"/>
        <w:bottom w:val="none" w:sz="0" w:space="0" w:color="auto"/>
        <w:right w:val="none" w:sz="0" w:space="0" w:color="auto"/>
      </w:divBdr>
    </w:div>
    <w:div w:id="163252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gislation.gov.uk/uksi/2015/51/contents/made" TargetMode="External"/><Relationship Id="rId18" Type="http://schemas.openxmlformats.org/officeDocument/2006/relationships/hyperlink" Target="https://home360.balfourbeatty.com/ghoreferencecentre/Group%20BMS/_layouts/DocIdRedir.aspx?ID=2KHUWT73P6SE-1572-8591" TargetMode="External"/><Relationship Id="rId26" Type="http://schemas.openxmlformats.org/officeDocument/2006/relationships/hyperlink" Target="https://home360.balfourbeatty.com/ghoreferencecentre/Group%20BMS/_layouts/DocIdRedir.aspx?ID=2KHUWT73P6SE-1572-1734" TargetMode="External"/><Relationship Id="rId39" Type="http://schemas.openxmlformats.org/officeDocument/2006/relationships/hyperlink" Target="https://home360.balfourbeatty.com/ghoreferencecentre/Group%20BMS/_layouts/DocIdRedir.aspx?ID=2KHUWT73P6SE-1572-8566"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8591" TargetMode="External"/><Relationship Id="rId34" Type="http://schemas.openxmlformats.org/officeDocument/2006/relationships/hyperlink" Target="http://www.hse.gov.uk/pubns/indg175.pdf" TargetMode="External"/><Relationship Id="rId42" Type="http://schemas.openxmlformats.org/officeDocument/2006/relationships/hyperlink" Target="https://home360.balfourbeatty.com/ghoreferencecentre/Group%20BMS/_layouts/DocIdRedir.aspx?ID=2KHUWT73P6SE-1572-8568" TargetMode="External"/><Relationship Id="rId47"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1768" TargetMode="External"/><Relationship Id="rId17" Type="http://schemas.openxmlformats.org/officeDocument/2006/relationships/hyperlink" Target="https://www.speedyservices.com/uploads/file/93ea0e1aa720457c850b734acf5be9f6/A1-Reckoner-Poster.pdf" TargetMode="External"/><Relationship Id="rId25" Type="http://schemas.openxmlformats.org/officeDocument/2006/relationships/hyperlink" Target="https://home360.balfourbeatty.com/ghoreferencecentre/Group%20BMS/_layouts/DocIdRedir.aspx?ID=2KHUWT73P6SE-1572-1734" TargetMode="External"/><Relationship Id="rId33" Type="http://schemas.openxmlformats.org/officeDocument/2006/relationships/hyperlink" Target="http://www.hse.gov.uk/pubns/books/l140.htm" TargetMode="External"/><Relationship Id="rId38" Type="http://schemas.openxmlformats.org/officeDocument/2006/relationships/hyperlink" Target="https://home360.balfourbeatty.com/ghoreferencecentre/Group%20BMS/_layouts/DocIdRedir.aspx?ID=2KHUWT73P6SE-1572-1768"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hilti.co.uk/havs" TargetMode="External"/><Relationship Id="rId20" Type="http://schemas.openxmlformats.org/officeDocument/2006/relationships/hyperlink" Target="https://home360.balfourbeatty.com/ghoreferencecentre/Group%20BMS/_layouts/DocIdRedir.aspx?ID=2KHUWT73P6SE-1572-8639" TargetMode="External"/><Relationship Id="rId29" Type="http://schemas.openxmlformats.org/officeDocument/2006/relationships/hyperlink" Target="mailto:BBUKOcchealth@balfourbeatty.com" TargetMode="External"/><Relationship Id="rId41" Type="http://schemas.openxmlformats.org/officeDocument/2006/relationships/hyperlink" Target="https://home360.balfourbeatty.com/ghoreferencecentre/Group%20BMS/_layouts/DocIdRedir.aspx?ID=2KHUWT73P6SE-1572-799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7850" TargetMode="External"/><Relationship Id="rId32" Type="http://schemas.openxmlformats.org/officeDocument/2006/relationships/hyperlink" Target="http://www.legislation.gov.uk/uksi/2005/1093/contents/made" TargetMode="External"/><Relationship Id="rId37" Type="http://schemas.openxmlformats.org/officeDocument/2006/relationships/hyperlink" Target="https://home360.balfourbeatty.com/ghoreferencecentre/Group%20BMS/_layouts/DocIdRedir.aspx?ID=2KHUWT73P6SE-1572-1734" TargetMode="External"/><Relationship Id="rId40" Type="http://schemas.openxmlformats.org/officeDocument/2006/relationships/hyperlink" Target="https://home360.balfourbeatty.com/ghoreferencecentre/Group%20BMS/_layouts/DocIdRedir.aspx?ID=2KHUWT73P6SE-1572-8567"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hse.gov.uk/vibration/hav/source-vibration-magnitude-app3.pdf" TargetMode="External"/><Relationship Id="rId23" Type="http://schemas.openxmlformats.org/officeDocument/2006/relationships/hyperlink" Target="https://home360.balfourbeatty.com/ghoreferencecentre/Group%20BMS/_layouts/DocIdRedir.aspx?ID=2KHUWT73P6SE-1572-8567" TargetMode="External"/><Relationship Id="rId28" Type="http://schemas.openxmlformats.org/officeDocument/2006/relationships/hyperlink" Target="https://home360.balfourbeatty.com/ghoreferencecentre/Group%20BMS/_layouts/DocIdRedir.aspx?ID=2KHUWT73P6SE-1572-8568" TargetMode="External"/><Relationship Id="rId36" Type="http://schemas.openxmlformats.org/officeDocument/2006/relationships/hyperlink" Target="https://home360.balfourbeatty.com/ghoreferencecentre/Group%20BMS/_layouts/DocIdRedir.aspx?ID=2KHUWT73P6SE-1572-8591"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1768" TargetMode="External"/><Relationship Id="rId31" Type="http://schemas.openxmlformats.org/officeDocument/2006/relationships/hyperlink" Target="https://home360.balfourbeatty.com/ghoreferencecentre/Group%20BMS/_layouts/DocIdRedir.aspx?ID=2KHUWT73P6SE-1572-7997" TargetMode="External"/><Relationship Id="rId44" Type="http://schemas.openxmlformats.org/officeDocument/2006/relationships/hyperlink" Target="https://home360.balfourbeatty.com/ghoreferencecentre/Group%20BMS/_layouts/DocIdRedir.aspx?ID=2KHUWT73P6SE-1572-1447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4474" TargetMode="External"/><Relationship Id="rId22" Type="http://schemas.openxmlformats.org/officeDocument/2006/relationships/hyperlink" Target="https://home360.balfourbeatty.com/ghoreferencecentre/Group%20BMS/_layouts/DocIdRedir.aspx?ID=2KHUWT73P6SE-1572-8566" TargetMode="External"/><Relationship Id="rId27" Type="http://schemas.openxmlformats.org/officeDocument/2006/relationships/hyperlink" Target="https://home360.balfourbeatty.com/ghoreferencecentre/Group%20BMS/_layouts/DocIdRedir.aspx?ID=2KHUWT73P6SE-1572-8568" TargetMode="External"/><Relationship Id="rId30" Type="http://schemas.openxmlformats.org/officeDocument/2006/relationships/hyperlink" Target="https://home360.balfourbeatty.com/ghoreferencecentre/Group%20BMS/_layouts/DocIdRedir.aspx?ID=2KHUWT73P6SE-1572-8639" TargetMode="External"/><Relationship Id="rId35" Type="http://schemas.openxmlformats.org/officeDocument/2006/relationships/hyperlink" Target="https://home360.balfourbeatty.com/ghoreferencecentre/Group%20BMS/_layouts/DocIdRedir.aspx?ID=2KHUWT73P6SE-1572-8639" TargetMode="External"/><Relationship Id="rId43" Type="http://schemas.openxmlformats.org/officeDocument/2006/relationships/hyperlink" Target="https://home360.balfourbeatty.com/ghoreferencecentre/Group%20BMS/_layouts/DocIdRedir.aspx?ID=2KHUWT73P6SE-1572-7850"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2KHUWT73P6SE-1572-8571</_dlc_DocId>
    <_dlc_DocIdUrl xmlns="1d6a0609-6bef-4a0c-9054-5891b37468d4">
      <Url>https://home360.balfourbeatty.com/ghoreferencecentre/Group%20BMS/_layouts/DocIdRedir.aspx?ID=2KHUWT73P6SE-1572-8571</Url>
      <Description>2KHUWT73P6SE-1572-8571</Description>
    </_dlc_DocIdUrl>
    <TaxCatchAll xmlns="f43499e9-2e86-4c70-a2e2-5b27c6b5ac63">
      <Value>2023</Value>
      <Value>2076</Value>
      <Value>2972</Value>
      <Value>2006</Value>
      <Value>2001</Value>
      <Value>2004</Value>
      <Value>2003</Value>
    </TaxCatchAll>
    <Issue_x0020_Date xmlns="860e6fe6-97cb-40b5-bc05-a76ba269d9a4">2019-10-06T23:00:00+00:00</Issue_x0020_Date>
    <Check_x0020_in_x0020_Comments xmlns="860e6fe6-97cb-40b5-bc05-a76ba269d9a4">07/10/19 Updated reference to L140 2nd Edition, 2019 and removed ISBN after updated HSE guidance was released. No further changes required.</Check_x0020_in_x0020_Comments>
    <Review_x0020_Date xmlns="860e6fe6-97cb-40b5-bc05-a76ba269d9a4">2022-10-06T23:00:00+00:00</Review_x0020_Date>
    <Stage_x0020_Gate xmlns="860e6fe6-97cb-40b5-bc05-a76ba269d9a4">
      <Value>N/A</Value>
    </Stage_x0020_Gate>
    <Implementation_x0020_Instructions xmlns="860e6fe6-97cb-40b5-bc05-a76ba269d9a4">Implementation immediate</Implementation_x0020_Instructions>
    <Document_x0020_Reference xmlns="860e6fe6-97cb-40b5-bc05-a76ba269d9a4">HSF-PR-0060</Document_x0020_Reference>
    <Doc_x0020_Authoriser xmlns="860e6fe6-97cb-40b5-bc05-a76ba269d9a4">
      <UserInfo>
        <DisplayName>Andrea Dolphin</DisplayName>
        <AccountId>23289</AccountId>
        <AccountType/>
      </UserInfo>
    </Doc_x0020_Authoriser>
    <Published_x0020_Version_x0020_No_x002e_ xmlns="860e6fe6-97cb-40b5-bc05-a76ba269d9a4">2.1</Published_x0020_Version_x0020_No_x002e_>
    <d4a2d454b0434b009d8c2bed054bb1c9 xmlns="860e6fe6-97cb-40b5-bc05-a76ba269d9a4">
      <Terms xmlns="http://schemas.microsoft.com/office/infopath/2007/PartnerControls">
        <TermInfo xmlns="http://schemas.microsoft.com/office/infopath/2007/PartnerControls">
          <TermName>BB UK</TermName>
          <TermId>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N/A</TermName>
          <TermId>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Procedure</TermName>
          <TermId>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UK</TermName>
          <TermId>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hub|karen.parkinson@balfourbeatty.com</DisplayName>
        <AccountId>57172</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idace5273fcd44e4bc53f77fcf1950c3 xmlns="860e6fe6-97cb-40b5-bc05-a76ba269d9a4">
      <Terms xmlns="http://schemas.microsoft.com/office/infopath/2007/PartnerControls"/>
    </idace5273fcd44e4bc53f77fcf1950c3>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25AADE32-381F-4DE2-8709-0139A727BF5F}">
  <ds:schemaRefs>
    <ds:schemaRef ds:uri="f43499e9-2e86-4c70-a2e2-5b27c6b5ac63"/>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 ds:uri="1d6a0609-6bef-4a0c-9054-5891b37468d4"/>
    <ds:schemaRef ds:uri="860e6fe6-97cb-40b5-bc05-a76ba269d9a4"/>
    <ds:schemaRef ds:uri="http://schemas.microsoft.com/office/2006/metadata/properties"/>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527BF330-8955-463D-A10B-2A9A6E20E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769968-66AF-447D-A4FB-8739E167F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6</Pages>
  <Words>3061</Words>
  <Characters>17452</Characters>
  <Application>Microsoft Office Word</Application>
  <DocSecurity>4</DocSecurity>
  <Lines>145</Lines>
  <Paragraphs>40</Paragraphs>
  <ScaleCrop>false</ScaleCrop>
  <HeadingPairs>
    <vt:vector size="2" baseType="variant">
      <vt:variant>
        <vt:lpstr>Title</vt:lpstr>
      </vt:variant>
      <vt:variant>
        <vt:i4>1</vt:i4>
      </vt:variant>
    </vt:vector>
  </HeadingPairs>
  <TitlesOfParts>
    <vt:vector size="1" baseType="lpstr">
      <vt:lpstr>Hand-Arm Vibration</vt:lpstr>
    </vt:vector>
  </TitlesOfParts>
  <Company>Balfour Beatty</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Hand-Arm Vibration</dc:title>
  <dc:creator>Gordon Sharon</dc:creator>
  <cp:keywords>HSF-PR-0060; HAV; HAVS; white finger; OccHealth; HPCHAVS; HPCWWC</cp:keywords>
  <cp:lastModifiedBy>Bull, Alison</cp:lastModifiedBy>
  <cp:revision>2</cp:revision>
  <cp:lastPrinted>2017-05-23T15:25:00Z</cp:lastPrinted>
  <dcterms:created xsi:type="dcterms:W3CDTF">2019-10-29T08:14:00Z</dcterms:created>
  <dcterms:modified xsi:type="dcterms:W3CDTF">2019-10-29T08:14:00Z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e8aa9e85-038b-4bf6-899b-9c3341d4f3c9</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