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17547" w:rsidRPr="009A5868" w14:paraId="1F584560" w14:textId="77777777" w:rsidTr="000A2052">
        <w:tc>
          <w:tcPr>
            <w:tcW w:w="10598" w:type="dxa"/>
          </w:tcPr>
          <w:p w14:paraId="5528F553" w14:textId="77777777" w:rsidR="00917547" w:rsidRPr="006D3E21" w:rsidRDefault="00917547" w:rsidP="000A2052">
            <w:pPr>
              <w:pStyle w:val="BMSMainHeading"/>
            </w:pPr>
            <w:bookmarkStart w:id="0" w:name="_GoBack"/>
            <w:bookmarkEnd w:id="0"/>
            <w:r w:rsidRPr="006D3E21">
              <w:t>Scope</w:t>
            </w:r>
          </w:p>
        </w:tc>
      </w:tr>
      <w:tr w:rsidR="00D37D8E" w:rsidRPr="009A5868" w14:paraId="3C65EE81" w14:textId="77777777" w:rsidTr="000A2052">
        <w:tc>
          <w:tcPr>
            <w:tcW w:w="10598" w:type="dxa"/>
          </w:tcPr>
          <w:p w14:paraId="186A2DA6" w14:textId="3BC294BE" w:rsidR="00D37D8E" w:rsidRPr="009A5868" w:rsidRDefault="00341B68" w:rsidP="000A2052">
            <w:pPr>
              <w:pStyle w:val="BMSBodyText"/>
            </w:pPr>
            <w:r w:rsidRPr="002043EF">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2043EF">
              <w:rPr>
                <w:color w:val="FF0000"/>
              </w:rPr>
              <w:t>MSC-PR-0002</w:t>
            </w:r>
            <w:r w:rsidRPr="002043EF">
              <w:t>) must be followed in relation to assessing the validity of third party management systems.</w:t>
            </w:r>
          </w:p>
        </w:tc>
      </w:tr>
    </w:tbl>
    <w:p w14:paraId="2D7BA35B" w14:textId="77777777" w:rsidR="00917547" w:rsidRPr="009A5868" w:rsidRDefault="00917547" w:rsidP="00917547">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17547" w:rsidRPr="009A5868" w14:paraId="79DA502B" w14:textId="77777777" w:rsidTr="000A2052">
        <w:tc>
          <w:tcPr>
            <w:tcW w:w="10598" w:type="dxa"/>
          </w:tcPr>
          <w:p w14:paraId="7B36A163" w14:textId="77777777" w:rsidR="00917547" w:rsidRPr="009A5868" w:rsidRDefault="00917547" w:rsidP="000A2052">
            <w:pPr>
              <w:pStyle w:val="BMSMainHeading"/>
            </w:pPr>
            <w:r w:rsidRPr="009A5868">
              <w:t>Purpose</w:t>
            </w:r>
          </w:p>
        </w:tc>
      </w:tr>
      <w:tr w:rsidR="00917547" w:rsidRPr="009A5868" w14:paraId="5ABDECF4" w14:textId="77777777" w:rsidTr="000A2052">
        <w:tc>
          <w:tcPr>
            <w:tcW w:w="10598" w:type="dxa"/>
          </w:tcPr>
          <w:p w14:paraId="7EFB174D" w14:textId="77777777" w:rsidR="00917547" w:rsidRDefault="00917547" w:rsidP="000A2052">
            <w:pPr>
              <w:pStyle w:val="BMSBodyText"/>
            </w:pPr>
            <w:r>
              <w:t xml:space="preserve">The purpose of this procedure is to set out the Company’s policy for preventing or adequately controlling exposure to Substances Hazardous to Health (SHH) in accordance with the Control of Substances Hazardous to Health (COSHH) Regulations.  </w:t>
            </w:r>
          </w:p>
          <w:p w14:paraId="47426F8A" w14:textId="01B9CEB3" w:rsidR="00341B68" w:rsidRPr="009A5868" w:rsidRDefault="00341B68" w:rsidP="000A2052">
            <w:pPr>
              <w:pStyle w:val="BMSBodyText"/>
            </w:pPr>
            <w:r w:rsidRPr="006317F7">
              <w:rPr>
                <w:rFonts w:eastAsiaTheme="minorEastAsia" w:cstheme="minorBidi"/>
                <w:lang w:val="en-US" w:eastAsia="zh-CN"/>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6317F7">
                <w:rPr>
                  <w:rFonts w:eastAsiaTheme="minorEastAsia" w:cstheme="minorBidi"/>
                  <w:color w:val="0000FF"/>
                  <w:u w:val="single"/>
                  <w:lang w:val="en-US" w:eastAsia="zh-CN"/>
                </w:rPr>
                <w:t>HSES-PR-0004</w:t>
              </w:r>
            </w:hyperlink>
            <w:r w:rsidRPr="006317F7">
              <w:rPr>
                <w:rFonts w:eastAsiaTheme="minorEastAsia" w:cstheme="minorBidi"/>
                <w:lang w:val="en-US" w:eastAsia="zh-CN"/>
              </w:rPr>
              <w:t>).</w:t>
            </w:r>
          </w:p>
        </w:tc>
      </w:tr>
    </w:tbl>
    <w:p w14:paraId="43383517" w14:textId="77777777" w:rsidR="00917547" w:rsidRPr="009A5868" w:rsidRDefault="00917547" w:rsidP="00917547">
      <w:pPr>
        <w:pStyle w:val="BMSBodyText"/>
      </w:pPr>
    </w:p>
    <w:p w14:paraId="5E599523" w14:textId="77777777" w:rsidR="00917547" w:rsidRPr="009A5868" w:rsidRDefault="00917547" w:rsidP="00917547">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10064"/>
      </w:tblGrid>
      <w:tr w:rsidR="00917547" w:rsidRPr="009A5868" w14:paraId="3A0B4312" w14:textId="77777777" w:rsidTr="00FB6941">
        <w:trPr>
          <w:cantSplit/>
        </w:trPr>
        <w:tc>
          <w:tcPr>
            <w:tcW w:w="534" w:type="dxa"/>
          </w:tcPr>
          <w:p w14:paraId="2DBB3B21" w14:textId="77777777" w:rsidR="00917547" w:rsidRPr="006D3E21" w:rsidRDefault="00917547" w:rsidP="000A2052">
            <w:pPr>
              <w:pStyle w:val="BMSBodyText"/>
              <w:numPr>
                <w:ilvl w:val="0"/>
                <w:numId w:val="9"/>
              </w:numPr>
              <w:rPr>
                <w:b/>
              </w:rPr>
            </w:pPr>
          </w:p>
        </w:tc>
        <w:tc>
          <w:tcPr>
            <w:tcW w:w="10064" w:type="dxa"/>
          </w:tcPr>
          <w:p w14:paraId="02D82B8C" w14:textId="77777777" w:rsidR="00917547" w:rsidRPr="009A5868" w:rsidRDefault="00917547" w:rsidP="000A2052">
            <w:pPr>
              <w:pStyle w:val="BMSMainHeading"/>
            </w:pPr>
            <w:r>
              <w:t>RESPONSIBILITIES</w:t>
            </w:r>
          </w:p>
        </w:tc>
      </w:tr>
      <w:tr w:rsidR="00917547" w:rsidRPr="009A5868" w14:paraId="524E7ACC" w14:textId="77777777" w:rsidTr="00FB6941">
        <w:trPr>
          <w:cantSplit/>
        </w:trPr>
        <w:tc>
          <w:tcPr>
            <w:tcW w:w="534" w:type="dxa"/>
          </w:tcPr>
          <w:p w14:paraId="5D18DFA2" w14:textId="77777777" w:rsidR="00917547" w:rsidRPr="008819A7" w:rsidRDefault="00917547" w:rsidP="000A2052">
            <w:pPr>
              <w:pStyle w:val="BMSBodyText"/>
              <w:numPr>
                <w:ilvl w:val="1"/>
                <w:numId w:val="9"/>
              </w:numPr>
              <w:ind w:left="142"/>
            </w:pPr>
          </w:p>
        </w:tc>
        <w:tc>
          <w:tcPr>
            <w:tcW w:w="10064" w:type="dxa"/>
          </w:tcPr>
          <w:p w14:paraId="1E482F62" w14:textId="2C81ED93" w:rsidR="00917547" w:rsidRDefault="00917547" w:rsidP="003D30FB">
            <w:pPr>
              <w:pStyle w:val="BMSBodyText"/>
            </w:pPr>
            <w:r>
              <w:t xml:space="preserve">The Site Lead will </w:t>
            </w:r>
            <w:r w:rsidR="003D30FB">
              <w:t xml:space="preserve">ensure that </w:t>
            </w:r>
            <w:r>
              <w:t xml:space="preserve">a COSHH Co-ordinator and deputies (where applicable) </w:t>
            </w:r>
            <w:r w:rsidR="003D30FB">
              <w:t xml:space="preserve">are appointed </w:t>
            </w:r>
            <w:r>
              <w:t xml:space="preserve">and </w:t>
            </w:r>
            <w:r w:rsidR="003D30FB">
              <w:t xml:space="preserve">ensure </w:t>
            </w:r>
            <w:r>
              <w:t xml:space="preserve">their appointment </w:t>
            </w:r>
            <w:r w:rsidR="003D30FB">
              <w:t xml:space="preserve">is recorded </w:t>
            </w:r>
            <w:r>
              <w:t xml:space="preserve">within the Construction Phase Plan or relevant Office/Facility Management Plan. </w:t>
            </w:r>
          </w:p>
        </w:tc>
      </w:tr>
      <w:tr w:rsidR="00917547" w:rsidRPr="009A5868" w14:paraId="5038E6C4" w14:textId="77777777" w:rsidTr="00FB6941">
        <w:trPr>
          <w:cantSplit/>
        </w:trPr>
        <w:tc>
          <w:tcPr>
            <w:tcW w:w="534" w:type="dxa"/>
          </w:tcPr>
          <w:p w14:paraId="27C9C6CB" w14:textId="77777777" w:rsidR="00917547" w:rsidRPr="008819A7" w:rsidRDefault="00917547" w:rsidP="000A2052">
            <w:pPr>
              <w:pStyle w:val="BMSBodyText"/>
              <w:numPr>
                <w:ilvl w:val="1"/>
                <w:numId w:val="9"/>
              </w:numPr>
              <w:ind w:left="142"/>
            </w:pPr>
          </w:p>
        </w:tc>
        <w:tc>
          <w:tcPr>
            <w:tcW w:w="10064" w:type="dxa"/>
          </w:tcPr>
          <w:p w14:paraId="02DC15B1" w14:textId="6BF89B85" w:rsidR="00917547" w:rsidRPr="009A5868" w:rsidRDefault="00917547" w:rsidP="00FE5C03">
            <w:pPr>
              <w:pStyle w:val="BMSBodyText"/>
            </w:pPr>
            <w:r>
              <w:t>COSHH Co-ordinators and deputies (where applicable) will be suitably trained and will hold a CITB Site Manage</w:t>
            </w:r>
            <w:r w:rsidR="00FE5C03">
              <w:t xml:space="preserve">rs Safety Training Certificate (or Company recognised equivalent) </w:t>
            </w:r>
            <w:r>
              <w:t xml:space="preserve">and will have attended the Company COSHH Co-ordinator training course. </w:t>
            </w:r>
          </w:p>
        </w:tc>
      </w:tr>
      <w:tr w:rsidR="00917547" w:rsidRPr="009A5868" w14:paraId="0B5E923B" w14:textId="77777777" w:rsidTr="00FB6941">
        <w:trPr>
          <w:cantSplit/>
        </w:trPr>
        <w:tc>
          <w:tcPr>
            <w:tcW w:w="534" w:type="dxa"/>
          </w:tcPr>
          <w:p w14:paraId="31F9C147" w14:textId="77777777" w:rsidR="00917547" w:rsidRPr="008819A7" w:rsidRDefault="00917547" w:rsidP="000A2052">
            <w:pPr>
              <w:pStyle w:val="BMSBodyText"/>
              <w:numPr>
                <w:ilvl w:val="1"/>
                <w:numId w:val="9"/>
              </w:numPr>
              <w:ind w:left="142"/>
            </w:pPr>
          </w:p>
        </w:tc>
        <w:tc>
          <w:tcPr>
            <w:tcW w:w="10064" w:type="dxa"/>
          </w:tcPr>
          <w:p w14:paraId="557883A1" w14:textId="02009A57" w:rsidR="00917547" w:rsidRDefault="00917547" w:rsidP="000A2052">
            <w:pPr>
              <w:pStyle w:val="BMSBodyText"/>
            </w:pPr>
            <w:r>
              <w:t>The COSHH Co-ordinator will be responsible for ensuring an up to date COSHH Register (</w:t>
            </w:r>
            <w:hyperlink r:id="rId13" w:history="1">
              <w:r w:rsidRPr="00B56374">
                <w:rPr>
                  <w:rStyle w:val="Hyperlink"/>
                </w:rPr>
                <w:t>HSF-TF-0021a</w:t>
              </w:r>
            </w:hyperlink>
            <w:r>
              <w:t>)/COSHH File</w:t>
            </w:r>
            <w:r w:rsidR="00610A4A">
              <w:t>/</w:t>
            </w:r>
            <w:proofErr w:type="spellStart"/>
            <w:r w:rsidR="00610A4A">
              <w:t>Alcumus</w:t>
            </w:r>
            <w:proofErr w:type="spellEnd"/>
            <w:r w:rsidR="00610A4A">
              <w:t xml:space="preserve"> COSHH Assessment Review Index</w:t>
            </w:r>
            <w:r>
              <w:t xml:space="preserve"> is maintained on each site/office/facility.  The COSHH Register (</w:t>
            </w:r>
            <w:hyperlink r:id="rId14" w:history="1">
              <w:r w:rsidRPr="00B56374">
                <w:rPr>
                  <w:rStyle w:val="Hyperlink"/>
                </w:rPr>
                <w:t>HSF-TF-0021a</w:t>
              </w:r>
            </w:hyperlink>
            <w:r>
              <w:t>)/File</w:t>
            </w:r>
            <w:r w:rsidR="00610A4A">
              <w:t xml:space="preserve"> or </w:t>
            </w:r>
            <w:proofErr w:type="spellStart"/>
            <w:r w:rsidR="00610A4A">
              <w:t>Alcumus</w:t>
            </w:r>
            <w:proofErr w:type="spellEnd"/>
            <w:r w:rsidR="00610A4A">
              <w:t xml:space="preserve"> COSHH Assessment Review Index</w:t>
            </w:r>
            <w:r>
              <w:t xml:space="preserve"> will contain copies of all relevant COSHH Assessments and associated documents such as Material Safety Data Sheets (MSDS) for supplied chemicals on site and </w:t>
            </w:r>
            <w:r w:rsidR="0023242F">
              <w:t xml:space="preserve">where applicable </w:t>
            </w:r>
            <w:r>
              <w:t>spillage procedures. Suppliers are required to provide MSDS with Substances Hazardous to Health (SHH).</w:t>
            </w:r>
          </w:p>
        </w:tc>
      </w:tr>
      <w:tr w:rsidR="00917547" w:rsidRPr="009A5868" w14:paraId="505F74AC" w14:textId="77777777" w:rsidTr="00FB6941">
        <w:trPr>
          <w:cantSplit/>
        </w:trPr>
        <w:tc>
          <w:tcPr>
            <w:tcW w:w="534" w:type="dxa"/>
          </w:tcPr>
          <w:p w14:paraId="461C93A3" w14:textId="77777777" w:rsidR="00917547" w:rsidRPr="008819A7" w:rsidRDefault="00917547" w:rsidP="000A2052">
            <w:pPr>
              <w:pStyle w:val="BMSBodyText"/>
              <w:numPr>
                <w:ilvl w:val="1"/>
                <w:numId w:val="9"/>
              </w:numPr>
              <w:ind w:left="142"/>
            </w:pPr>
          </w:p>
        </w:tc>
        <w:tc>
          <w:tcPr>
            <w:tcW w:w="10064" w:type="dxa"/>
          </w:tcPr>
          <w:p w14:paraId="5158A284" w14:textId="4EFB7EA7" w:rsidR="00917547" w:rsidRDefault="00917547" w:rsidP="009D3569">
            <w:pPr>
              <w:pStyle w:val="BMSBodyText"/>
            </w:pPr>
            <w:r>
              <w:t xml:space="preserve">The </w:t>
            </w:r>
            <w:proofErr w:type="spellStart"/>
            <w:r>
              <w:t>Alcumus</w:t>
            </w:r>
            <w:proofErr w:type="spellEnd"/>
            <w:r>
              <w:t xml:space="preserve"> </w:t>
            </w:r>
            <w:proofErr w:type="spellStart"/>
            <w:r>
              <w:t>Sypol</w:t>
            </w:r>
            <w:proofErr w:type="spellEnd"/>
            <w:r>
              <w:t xml:space="preserve"> Database </w:t>
            </w:r>
            <w:r w:rsidR="00A4792E">
              <w:t xml:space="preserve">is available to assist in the production of </w:t>
            </w:r>
            <w:r>
              <w:t>COSHH Assessments</w:t>
            </w:r>
            <w:r w:rsidR="00764D14">
              <w:t>. Either this database must be used or assessments must be agreed in consultation with your Health Champion (</w:t>
            </w:r>
            <w:hyperlink r:id="rId15" w:history="1">
              <w:r w:rsidR="009D3569" w:rsidRPr="009D3569">
                <w:rPr>
                  <w:rStyle w:val="Hyperlink"/>
                </w:rPr>
                <w:t>available from 360</w:t>
              </w:r>
            </w:hyperlink>
            <w:r w:rsidR="00764D14">
              <w:t>)</w:t>
            </w:r>
            <w:r w:rsidR="00896AD6">
              <w:t xml:space="preserve"> </w:t>
            </w:r>
            <w:r w:rsidR="00764D14">
              <w:t>or occupational hygienist, In all cases</w:t>
            </w:r>
            <w:r w:rsidR="00A4792E">
              <w:t xml:space="preserve"> </w:t>
            </w:r>
            <w:r w:rsidR="00DD42C2">
              <w:t xml:space="preserve"> the resulting assessment </w:t>
            </w:r>
            <w:r w:rsidR="00764D14">
              <w:t xml:space="preserve">must </w:t>
            </w:r>
            <w:r w:rsidR="00DD42C2">
              <w:t>address all relevant factors pertaining to the health risk and the necessary measures to effect adequate control</w:t>
            </w:r>
            <w:r>
              <w:t xml:space="preserve">. Users will liaise with the COSHH Administrator who is a designated Sypol editor. When using the database, it is important to ensure that the assessment relates to a single defined task. </w:t>
            </w:r>
            <w:r w:rsidR="007E54B3">
              <w:t xml:space="preserve"> The COSHH Assessment Request Form (CARQ) </w:t>
            </w:r>
            <w:r w:rsidR="002F04A8">
              <w:t>(</w:t>
            </w:r>
            <w:hyperlink r:id="rId16" w:history="1">
              <w:r w:rsidR="002F04A8" w:rsidRPr="002F04A8">
                <w:rPr>
                  <w:rStyle w:val="Hyperlink"/>
                </w:rPr>
                <w:t>HSF-SF-0021a</w:t>
              </w:r>
            </w:hyperlink>
            <w:r w:rsidR="002F04A8">
              <w:t xml:space="preserve">) </w:t>
            </w:r>
            <w:r w:rsidR="007E54B3">
              <w:t>may be used to request assessments from the COSHH Administrator.</w:t>
            </w:r>
          </w:p>
        </w:tc>
      </w:tr>
      <w:tr w:rsidR="00FB6941" w:rsidRPr="00FB6941" w14:paraId="360A75A2" w14:textId="77777777" w:rsidTr="00FB6941">
        <w:trPr>
          <w:cantSplit/>
        </w:trPr>
        <w:tc>
          <w:tcPr>
            <w:tcW w:w="534" w:type="dxa"/>
          </w:tcPr>
          <w:p w14:paraId="5317C304" w14:textId="77777777" w:rsidR="00FB6941" w:rsidRPr="00FB6941" w:rsidRDefault="00FB6941" w:rsidP="00FB6941">
            <w:pPr>
              <w:pStyle w:val="BMSBodyText"/>
              <w:numPr>
                <w:ilvl w:val="1"/>
                <w:numId w:val="9"/>
              </w:numPr>
            </w:pPr>
          </w:p>
        </w:tc>
        <w:tc>
          <w:tcPr>
            <w:tcW w:w="10064" w:type="dxa"/>
          </w:tcPr>
          <w:p w14:paraId="51A15A1A" w14:textId="250388EC" w:rsidR="00FB6941" w:rsidRPr="00FB6941" w:rsidRDefault="00FB6941" w:rsidP="00FB6941">
            <w:pPr>
              <w:pStyle w:val="BMSBodyText"/>
            </w:pPr>
            <w:r>
              <w:t>Plant and</w:t>
            </w:r>
            <w:r w:rsidR="00F64B17">
              <w:t xml:space="preserve"> Fleet Services should follow</w:t>
            </w:r>
            <w:r>
              <w:t xml:space="preserve"> the reference material How to Request a New Sypol Assessment (</w:t>
            </w:r>
            <w:hyperlink r:id="rId17" w:history="1">
              <w:r w:rsidRPr="00FB6941">
                <w:rPr>
                  <w:rStyle w:val="Hyperlink"/>
                </w:rPr>
                <w:t>HSF-RM-0021a-PFS</w:t>
              </w:r>
            </w:hyperlink>
            <w:r>
              <w:t>) in order to obtain COSHH Assessments.</w:t>
            </w:r>
          </w:p>
        </w:tc>
      </w:tr>
      <w:tr w:rsidR="00917547" w:rsidRPr="009A5868" w14:paraId="53C07B4D" w14:textId="77777777" w:rsidTr="00FB6941">
        <w:trPr>
          <w:cantSplit/>
        </w:trPr>
        <w:tc>
          <w:tcPr>
            <w:tcW w:w="534" w:type="dxa"/>
          </w:tcPr>
          <w:p w14:paraId="790BD8B3" w14:textId="77777777" w:rsidR="00917547" w:rsidRPr="008819A7" w:rsidRDefault="00917547" w:rsidP="000A2052">
            <w:pPr>
              <w:pStyle w:val="BMSBodyText"/>
              <w:numPr>
                <w:ilvl w:val="0"/>
                <w:numId w:val="9"/>
              </w:numPr>
            </w:pPr>
          </w:p>
        </w:tc>
        <w:tc>
          <w:tcPr>
            <w:tcW w:w="10064" w:type="dxa"/>
          </w:tcPr>
          <w:p w14:paraId="568552A6" w14:textId="77777777" w:rsidR="00917547" w:rsidRPr="009A5868" w:rsidRDefault="00917547" w:rsidP="000A2052">
            <w:pPr>
              <w:pStyle w:val="BMSMainHeading"/>
            </w:pPr>
            <w:r>
              <w:t>General Requirements</w:t>
            </w:r>
          </w:p>
        </w:tc>
      </w:tr>
      <w:tr w:rsidR="00917547" w:rsidRPr="009A5868" w14:paraId="017EC067" w14:textId="77777777" w:rsidTr="00FB6941">
        <w:trPr>
          <w:cantSplit/>
        </w:trPr>
        <w:tc>
          <w:tcPr>
            <w:tcW w:w="534" w:type="dxa"/>
          </w:tcPr>
          <w:p w14:paraId="1A472060" w14:textId="77777777" w:rsidR="00917547" w:rsidRPr="00325C33" w:rsidRDefault="00917547" w:rsidP="000A2052">
            <w:pPr>
              <w:pStyle w:val="BMSBodyText"/>
              <w:numPr>
                <w:ilvl w:val="1"/>
                <w:numId w:val="9"/>
              </w:numPr>
              <w:ind w:left="142"/>
            </w:pPr>
          </w:p>
        </w:tc>
        <w:tc>
          <w:tcPr>
            <w:tcW w:w="10064" w:type="dxa"/>
          </w:tcPr>
          <w:p w14:paraId="35B1CFD4" w14:textId="77777777" w:rsidR="00917547" w:rsidRPr="009A5868" w:rsidRDefault="00917547" w:rsidP="000A2052">
            <w:pPr>
              <w:pStyle w:val="BMSBodyText"/>
            </w:pPr>
            <w:r>
              <w:t>The COSHH Co-ordinator will ensure that processes and tasks that could give rise to exposure via any route (inhalation, absorption, ingestion and injection) are risk assessed and significant findings recorded in accordance with the COSHH Regulations.</w:t>
            </w:r>
          </w:p>
        </w:tc>
      </w:tr>
      <w:tr w:rsidR="00917547" w:rsidRPr="009A5868" w14:paraId="2CA6792C" w14:textId="77777777" w:rsidTr="00FB6941">
        <w:trPr>
          <w:cantSplit/>
        </w:trPr>
        <w:tc>
          <w:tcPr>
            <w:tcW w:w="534" w:type="dxa"/>
          </w:tcPr>
          <w:p w14:paraId="76A7CE5C" w14:textId="77777777" w:rsidR="00917547" w:rsidRPr="008819A7" w:rsidRDefault="00917547" w:rsidP="000A2052">
            <w:pPr>
              <w:pStyle w:val="BMSBodyText"/>
              <w:numPr>
                <w:ilvl w:val="1"/>
                <w:numId w:val="9"/>
              </w:numPr>
              <w:ind w:left="142"/>
            </w:pPr>
          </w:p>
        </w:tc>
        <w:tc>
          <w:tcPr>
            <w:tcW w:w="10064" w:type="dxa"/>
          </w:tcPr>
          <w:p w14:paraId="1EA4A04D" w14:textId="0619DA97" w:rsidR="00917547" w:rsidRDefault="00917547" w:rsidP="000A2052">
            <w:pPr>
              <w:pStyle w:val="BMSBodyText"/>
            </w:pPr>
            <w:r>
              <w:t>The COSHH Co-ordinator will ensure that the relevant control measures identified within the COSHH Assessments are documented and implemented</w:t>
            </w:r>
            <w:r w:rsidR="00764D14">
              <w:t xml:space="preserve"> with the full support of the Site </w:t>
            </w:r>
            <w:r w:rsidR="009D3569">
              <w:t>L</w:t>
            </w:r>
            <w:r w:rsidR="00764D14">
              <w:t>ead.</w:t>
            </w:r>
          </w:p>
        </w:tc>
      </w:tr>
      <w:tr w:rsidR="00917547" w:rsidRPr="009A5868" w14:paraId="5C83D1DE" w14:textId="77777777" w:rsidTr="00FB6941">
        <w:trPr>
          <w:cantSplit/>
        </w:trPr>
        <w:tc>
          <w:tcPr>
            <w:tcW w:w="534" w:type="dxa"/>
          </w:tcPr>
          <w:p w14:paraId="0983669A" w14:textId="77777777" w:rsidR="00917547" w:rsidRPr="008819A7" w:rsidRDefault="00917547" w:rsidP="000A2052">
            <w:pPr>
              <w:pStyle w:val="BMSBodyText"/>
              <w:numPr>
                <w:ilvl w:val="1"/>
                <w:numId w:val="9"/>
              </w:numPr>
              <w:ind w:left="142"/>
            </w:pPr>
          </w:p>
        </w:tc>
        <w:tc>
          <w:tcPr>
            <w:tcW w:w="10064" w:type="dxa"/>
          </w:tcPr>
          <w:p w14:paraId="1103DEB7" w14:textId="4ED43DCB" w:rsidR="00917547" w:rsidRDefault="00917547" w:rsidP="00055DF0">
            <w:pPr>
              <w:pStyle w:val="BMSBodyText"/>
            </w:pPr>
            <w:r>
              <w:t>Individuals who are likely to be exposed to SHH will be briefed prior to works commencing. This briefing will include the health risks associated with the exposure, how to use the controls/ protection measures identified in the assessment including PPE and health surveillance requirements where relevant.  (</w:t>
            </w:r>
            <w:hyperlink r:id="rId18" w:history="1">
              <w:r w:rsidRPr="00B31273">
                <w:rPr>
                  <w:rStyle w:val="Hyperlink"/>
                </w:rPr>
                <w:t>HSF-TB-0021a</w:t>
              </w:r>
            </w:hyperlink>
            <w:r>
              <w:t xml:space="preserve"> and </w:t>
            </w:r>
            <w:hyperlink r:id="rId19" w:history="1">
              <w:r w:rsidRPr="005964B3">
                <w:rPr>
                  <w:rStyle w:val="Hyperlink"/>
                </w:rPr>
                <w:t>HSF-TB-0021b</w:t>
              </w:r>
            </w:hyperlink>
            <w:r>
              <w:t xml:space="preserve"> are available to assist with site briefings)</w:t>
            </w:r>
            <w:r w:rsidR="00FE5C03">
              <w:t>.</w:t>
            </w:r>
          </w:p>
        </w:tc>
      </w:tr>
      <w:tr w:rsidR="00917547" w:rsidRPr="009A5868" w14:paraId="48BC51A0" w14:textId="77777777" w:rsidTr="00FB6941">
        <w:trPr>
          <w:cantSplit/>
        </w:trPr>
        <w:tc>
          <w:tcPr>
            <w:tcW w:w="534" w:type="dxa"/>
          </w:tcPr>
          <w:p w14:paraId="4817251D" w14:textId="77777777" w:rsidR="00917547" w:rsidRPr="008819A7" w:rsidRDefault="00917547" w:rsidP="000A2052">
            <w:pPr>
              <w:pStyle w:val="BMSBodyText"/>
              <w:numPr>
                <w:ilvl w:val="1"/>
                <w:numId w:val="9"/>
              </w:numPr>
              <w:ind w:left="142"/>
            </w:pPr>
          </w:p>
        </w:tc>
        <w:tc>
          <w:tcPr>
            <w:tcW w:w="10064" w:type="dxa"/>
          </w:tcPr>
          <w:p w14:paraId="3AF79FDA" w14:textId="4B1477D0" w:rsidR="00917547" w:rsidRDefault="00917547" w:rsidP="009D3569">
            <w:pPr>
              <w:pStyle w:val="BMSBodyText"/>
            </w:pPr>
            <w:r>
              <w:t>Where the assessment indicates that Personal Protective Equipment (PPE) is necessary, the COSHH Co-ordinator will ensure</w:t>
            </w:r>
            <w:r w:rsidR="009D3569">
              <w:t xml:space="preserve"> that supervisors/line managers are aware</w:t>
            </w:r>
            <w:r>
              <w:t xml:space="preserve"> the equipment</w:t>
            </w:r>
            <w:r w:rsidR="00764D14">
              <w:t xml:space="preserve"> provided</w:t>
            </w:r>
            <w:r>
              <w:t xml:space="preserve"> </w:t>
            </w:r>
            <w:r w:rsidR="009D3569">
              <w:t xml:space="preserve">must be </w:t>
            </w:r>
            <w:r>
              <w:t>to the correct standard, fit individual</w:t>
            </w:r>
            <w:r w:rsidR="00764D14">
              <w:t>s</w:t>
            </w:r>
            <w:r>
              <w:t xml:space="preserve"> in accordance with an approved qualitative test, and do not interfere with their work or other PPE worn at the same time. Arrangements must be in place to ensure re-useable PPE such as coveralls are regularly cleaned. Refer to PPE Procedure (</w:t>
            </w:r>
            <w:hyperlink r:id="rId20" w:history="1">
              <w:r w:rsidRPr="00372954">
                <w:rPr>
                  <w:rStyle w:val="Hyperlink"/>
                </w:rPr>
                <w:t>HSF-PR-0048</w:t>
              </w:r>
            </w:hyperlink>
            <w:r>
              <w:t>).</w:t>
            </w:r>
          </w:p>
        </w:tc>
      </w:tr>
      <w:tr w:rsidR="00917547" w:rsidRPr="009A5868" w14:paraId="4BB4C5CE" w14:textId="77777777" w:rsidTr="00FB6941">
        <w:trPr>
          <w:cantSplit/>
        </w:trPr>
        <w:tc>
          <w:tcPr>
            <w:tcW w:w="534" w:type="dxa"/>
          </w:tcPr>
          <w:p w14:paraId="7B944262" w14:textId="77777777" w:rsidR="00917547" w:rsidRPr="008819A7" w:rsidRDefault="00917547" w:rsidP="000A2052">
            <w:pPr>
              <w:pStyle w:val="BMSBodyText"/>
              <w:numPr>
                <w:ilvl w:val="1"/>
                <w:numId w:val="9"/>
              </w:numPr>
              <w:ind w:left="142"/>
            </w:pPr>
          </w:p>
        </w:tc>
        <w:tc>
          <w:tcPr>
            <w:tcW w:w="10064" w:type="dxa"/>
          </w:tcPr>
          <w:p w14:paraId="01C3B2F3" w14:textId="7CBD7C21" w:rsidR="00917547" w:rsidRDefault="00917547" w:rsidP="000A2052">
            <w:pPr>
              <w:pStyle w:val="BMSBodyText"/>
            </w:pPr>
            <w:r>
              <w:t xml:space="preserve">Where the assessment indicates Respiratory Protective Equipment (RPE) is necessary it must be maintained in accordance with manufacturers guidelines and the PPE </w:t>
            </w:r>
            <w:r w:rsidRPr="00216272">
              <w:t>procedure (</w:t>
            </w:r>
            <w:hyperlink r:id="rId21" w:history="1">
              <w:r w:rsidR="00341B68" w:rsidRPr="00372954">
                <w:rPr>
                  <w:rStyle w:val="Hyperlink"/>
                </w:rPr>
                <w:t>HSF-PR-0048</w:t>
              </w:r>
            </w:hyperlink>
            <w:r w:rsidRPr="00216272">
              <w:t>)</w:t>
            </w:r>
            <w:r>
              <w:t>.</w:t>
            </w:r>
          </w:p>
        </w:tc>
      </w:tr>
      <w:tr w:rsidR="00917547" w:rsidRPr="009A5868" w14:paraId="6A893D64" w14:textId="77777777" w:rsidTr="00FB6941">
        <w:trPr>
          <w:cantSplit/>
        </w:trPr>
        <w:tc>
          <w:tcPr>
            <w:tcW w:w="534" w:type="dxa"/>
          </w:tcPr>
          <w:p w14:paraId="71154C26" w14:textId="77777777" w:rsidR="00917547" w:rsidRPr="008819A7" w:rsidRDefault="00917547" w:rsidP="000A2052">
            <w:pPr>
              <w:pStyle w:val="BMSBodyText"/>
              <w:numPr>
                <w:ilvl w:val="1"/>
                <w:numId w:val="9"/>
              </w:numPr>
              <w:ind w:left="142"/>
            </w:pPr>
          </w:p>
        </w:tc>
        <w:tc>
          <w:tcPr>
            <w:tcW w:w="10064" w:type="dxa"/>
          </w:tcPr>
          <w:p w14:paraId="59173641" w14:textId="10EBDF41" w:rsidR="00917547" w:rsidRDefault="00917547" w:rsidP="00FE5C03">
            <w:pPr>
              <w:pStyle w:val="BMSBodyText"/>
            </w:pPr>
            <w:r>
              <w:t xml:space="preserve">Where the assessment indicates a tight-fitting respirator is suitable for the task, the COSHH Co-ordinator will </w:t>
            </w:r>
            <w:r w:rsidR="00FE5C03">
              <w:t>ensure</w:t>
            </w:r>
            <w:r>
              <w:t xml:space="preserve"> Face Fit Testing </w:t>
            </w:r>
            <w:r w:rsidR="00FE5C03">
              <w:t xml:space="preserve">is </w:t>
            </w:r>
            <w:r>
              <w:t>carried out, and necessary control measures maintained, (e.g. shaving, etc.) in accordance with the PPE Procedure (</w:t>
            </w:r>
            <w:hyperlink r:id="rId22" w:history="1">
              <w:r w:rsidRPr="00372954">
                <w:rPr>
                  <w:rStyle w:val="Hyperlink"/>
                </w:rPr>
                <w:t>HSF-PR-0048</w:t>
              </w:r>
            </w:hyperlink>
            <w:r>
              <w:t>).</w:t>
            </w:r>
          </w:p>
        </w:tc>
      </w:tr>
      <w:tr w:rsidR="00917547" w:rsidRPr="009A5868" w14:paraId="78D31C5B" w14:textId="77777777" w:rsidTr="00FB6941">
        <w:trPr>
          <w:cantSplit/>
        </w:trPr>
        <w:tc>
          <w:tcPr>
            <w:tcW w:w="534" w:type="dxa"/>
          </w:tcPr>
          <w:p w14:paraId="2E05271B" w14:textId="77777777" w:rsidR="00917547" w:rsidRPr="008819A7" w:rsidRDefault="00917547" w:rsidP="000A2052">
            <w:pPr>
              <w:pStyle w:val="BMSBodyText"/>
              <w:numPr>
                <w:ilvl w:val="1"/>
                <w:numId w:val="9"/>
              </w:numPr>
              <w:ind w:left="142"/>
            </w:pPr>
          </w:p>
        </w:tc>
        <w:tc>
          <w:tcPr>
            <w:tcW w:w="10064" w:type="dxa"/>
          </w:tcPr>
          <w:p w14:paraId="16BA015D" w14:textId="77777777" w:rsidR="00917547" w:rsidRDefault="00917547" w:rsidP="000A2052">
            <w:pPr>
              <w:pStyle w:val="BMSBodyText"/>
            </w:pPr>
            <w:r>
              <w:t xml:space="preserve">When a new depot, office, plant or workshop is transferred to the Company, there will be a contractual agreement that only materials, chemicals or substances that have been agreed in writing are transferred to the Company’s possession.  A thorough inspection will be undertaken prior to taking occupancy and any materials, chemicals and substances left without agreement will be securely stored until correct removal or disposal is arranged. </w:t>
            </w:r>
          </w:p>
        </w:tc>
      </w:tr>
      <w:tr w:rsidR="00917547" w:rsidRPr="009A5868" w14:paraId="3A85F0D1" w14:textId="77777777" w:rsidTr="00FB6941">
        <w:trPr>
          <w:cantSplit/>
        </w:trPr>
        <w:tc>
          <w:tcPr>
            <w:tcW w:w="534" w:type="dxa"/>
          </w:tcPr>
          <w:p w14:paraId="55F3CB83" w14:textId="77777777" w:rsidR="00917547" w:rsidRPr="00D369CE" w:rsidRDefault="00917547" w:rsidP="000A2052">
            <w:pPr>
              <w:pStyle w:val="BMSBodyText"/>
              <w:numPr>
                <w:ilvl w:val="0"/>
                <w:numId w:val="9"/>
              </w:numPr>
            </w:pPr>
          </w:p>
        </w:tc>
        <w:tc>
          <w:tcPr>
            <w:tcW w:w="10064" w:type="dxa"/>
          </w:tcPr>
          <w:p w14:paraId="04D3558F" w14:textId="77777777" w:rsidR="00917547" w:rsidRPr="001733CF" w:rsidRDefault="00917547" w:rsidP="000A2052">
            <w:pPr>
              <w:pStyle w:val="BMSBodyText"/>
              <w:rPr>
                <w:b/>
                <w:caps/>
              </w:rPr>
            </w:pPr>
            <w:r w:rsidRPr="001733CF">
              <w:rPr>
                <w:b/>
                <w:caps/>
              </w:rPr>
              <w:t>SUPPLIED CHEMICALS</w:t>
            </w:r>
          </w:p>
        </w:tc>
      </w:tr>
      <w:tr w:rsidR="00917547" w:rsidRPr="009A5868" w14:paraId="4179D014" w14:textId="77777777" w:rsidTr="00FB6941">
        <w:trPr>
          <w:cantSplit/>
        </w:trPr>
        <w:tc>
          <w:tcPr>
            <w:tcW w:w="534" w:type="dxa"/>
          </w:tcPr>
          <w:p w14:paraId="3F745FA9" w14:textId="77777777" w:rsidR="00917547" w:rsidRPr="008819A7" w:rsidRDefault="00917547" w:rsidP="000A2052">
            <w:pPr>
              <w:pStyle w:val="BMSBodyText"/>
              <w:numPr>
                <w:ilvl w:val="1"/>
                <w:numId w:val="9"/>
              </w:numPr>
              <w:ind w:left="142"/>
            </w:pPr>
          </w:p>
        </w:tc>
        <w:tc>
          <w:tcPr>
            <w:tcW w:w="10064" w:type="dxa"/>
          </w:tcPr>
          <w:p w14:paraId="6E86B926" w14:textId="2860150F" w:rsidR="00917547" w:rsidRDefault="00917547" w:rsidP="0023242F">
            <w:pPr>
              <w:pStyle w:val="BMSBodyText"/>
            </w:pPr>
            <w:r>
              <w:t xml:space="preserve">The manufacturers and suppliers of hazardous substances have a legal duty to provide information to users about the hazards associated with their products, both in the form of a MSDS and packaging/labelling under the requirements of the </w:t>
            </w:r>
            <w:hyperlink r:id="rId23" w:history="1">
              <w:r w:rsidRPr="00E1209C">
                <w:rPr>
                  <w:rStyle w:val="Hyperlink"/>
                </w:rPr>
                <w:t>CLP Regulations</w:t>
              </w:r>
            </w:hyperlink>
            <w:r>
              <w:t xml:space="preserve">.  The MSDS must be obtained before ordering any </w:t>
            </w:r>
            <w:r>
              <w:rPr>
                <w:b/>
              </w:rPr>
              <w:t>new</w:t>
            </w:r>
            <w:r>
              <w:t xml:space="preserve"> substance to ensure an assessment of the task associated with the product can be undertaken prior to work starting and </w:t>
            </w:r>
            <w:r w:rsidR="0023242F">
              <w:t>ensure</w:t>
            </w:r>
            <w:r>
              <w:t xml:space="preserve"> non-toxic or less hazardous products </w:t>
            </w:r>
            <w:r w:rsidR="0023242F">
              <w:t xml:space="preserve">are </w:t>
            </w:r>
            <w:r>
              <w:t>substituted</w:t>
            </w:r>
            <w:r w:rsidR="00FE5C03">
              <w:t xml:space="preserve"> where possible</w:t>
            </w:r>
            <w:r>
              <w:t>.</w:t>
            </w:r>
          </w:p>
        </w:tc>
      </w:tr>
      <w:tr w:rsidR="00917547" w:rsidRPr="009A5868" w14:paraId="55BCDA7B" w14:textId="77777777" w:rsidTr="00FB6941">
        <w:trPr>
          <w:cantSplit/>
        </w:trPr>
        <w:tc>
          <w:tcPr>
            <w:tcW w:w="534" w:type="dxa"/>
          </w:tcPr>
          <w:p w14:paraId="7930710B" w14:textId="77777777" w:rsidR="00917547" w:rsidRPr="008819A7" w:rsidRDefault="00917547" w:rsidP="000A2052">
            <w:pPr>
              <w:pStyle w:val="BMSBodyText"/>
              <w:numPr>
                <w:ilvl w:val="1"/>
                <w:numId w:val="9"/>
              </w:numPr>
              <w:ind w:left="142"/>
            </w:pPr>
          </w:p>
        </w:tc>
        <w:tc>
          <w:tcPr>
            <w:tcW w:w="10064" w:type="dxa"/>
          </w:tcPr>
          <w:p w14:paraId="526DB4C5" w14:textId="7BA650F6" w:rsidR="00917547" w:rsidRDefault="00917547" w:rsidP="00055DF0">
            <w:pPr>
              <w:pStyle w:val="BMSBodyText"/>
            </w:pPr>
            <w:r>
              <w:t xml:space="preserve">All containers and pipe work containing SHH will be clearly labelled.  Decanting will be avoided where practicable, and containers will be selected of suitable size for the process without the need for decanting. Where this cannot be avoided, suitable equipment will be used such as siphons and pumps rather than tipping and pouring, which increases the risk of spillage. All storage areas, cupboards, vaults etc. will have the appropriate labels on the external surfaces to comply with the CLP Regulations. </w:t>
            </w:r>
          </w:p>
        </w:tc>
      </w:tr>
      <w:tr w:rsidR="00917547" w:rsidRPr="009A5868" w14:paraId="620ECB15" w14:textId="77777777" w:rsidTr="00FB6941">
        <w:trPr>
          <w:cantSplit/>
        </w:trPr>
        <w:tc>
          <w:tcPr>
            <w:tcW w:w="534" w:type="dxa"/>
          </w:tcPr>
          <w:p w14:paraId="4916969F" w14:textId="77777777" w:rsidR="00917547" w:rsidRPr="008819A7" w:rsidRDefault="00917547" w:rsidP="000A2052">
            <w:pPr>
              <w:pStyle w:val="BMSBodyText"/>
              <w:numPr>
                <w:ilvl w:val="1"/>
                <w:numId w:val="9"/>
              </w:numPr>
              <w:ind w:left="142"/>
            </w:pPr>
          </w:p>
        </w:tc>
        <w:tc>
          <w:tcPr>
            <w:tcW w:w="10064" w:type="dxa"/>
          </w:tcPr>
          <w:p w14:paraId="029D27DC" w14:textId="77777777" w:rsidR="00917547" w:rsidRDefault="00917547" w:rsidP="000A2052">
            <w:pPr>
              <w:pStyle w:val="BMSBodyText"/>
            </w:pPr>
            <w:r>
              <w:t>Sufficient storage of supplied chemicals will be provided and its location noted on the site set-up drawings.  The MSDS will be consulted for advice on storage of reactive chemicals and for chemicals which could be dangerous when combined. The COSHH storage facility will be lockable, bunded and located in a suitable place. Any spills and drips on containers and surfaces will be removed promptly. Suitable equipment for dealing with spillage will be readily available. Access to COSHH stores will be controlled and restricted to authorised persons.</w:t>
            </w:r>
          </w:p>
        </w:tc>
      </w:tr>
      <w:tr w:rsidR="00917547" w:rsidRPr="009A5868" w14:paraId="67784558" w14:textId="77777777" w:rsidTr="00FB6941">
        <w:trPr>
          <w:cantSplit/>
        </w:trPr>
        <w:tc>
          <w:tcPr>
            <w:tcW w:w="534" w:type="dxa"/>
          </w:tcPr>
          <w:p w14:paraId="6C91CC41" w14:textId="77777777" w:rsidR="00917547" w:rsidRPr="008819A7" w:rsidRDefault="00917547" w:rsidP="000A2052">
            <w:pPr>
              <w:pStyle w:val="BMSBodyText"/>
              <w:numPr>
                <w:ilvl w:val="0"/>
                <w:numId w:val="9"/>
              </w:numPr>
            </w:pPr>
          </w:p>
        </w:tc>
        <w:tc>
          <w:tcPr>
            <w:tcW w:w="10064" w:type="dxa"/>
          </w:tcPr>
          <w:p w14:paraId="3055D279" w14:textId="77777777" w:rsidR="00917547" w:rsidRDefault="00917547" w:rsidP="000A2052">
            <w:pPr>
              <w:pStyle w:val="BMSMainHeading"/>
            </w:pPr>
            <w:r>
              <w:t>assessment and control</w:t>
            </w:r>
          </w:p>
        </w:tc>
      </w:tr>
      <w:tr w:rsidR="00917547" w:rsidRPr="009A5868" w14:paraId="5568175E" w14:textId="77777777" w:rsidTr="00FB6941">
        <w:trPr>
          <w:cantSplit/>
        </w:trPr>
        <w:tc>
          <w:tcPr>
            <w:tcW w:w="534" w:type="dxa"/>
          </w:tcPr>
          <w:p w14:paraId="0C093590" w14:textId="77777777" w:rsidR="00917547" w:rsidRPr="008819A7" w:rsidRDefault="00917547" w:rsidP="000A2052">
            <w:pPr>
              <w:pStyle w:val="BMSBodyText"/>
              <w:numPr>
                <w:ilvl w:val="1"/>
                <w:numId w:val="9"/>
              </w:numPr>
              <w:ind w:left="142"/>
            </w:pPr>
          </w:p>
        </w:tc>
        <w:tc>
          <w:tcPr>
            <w:tcW w:w="10064" w:type="dxa"/>
          </w:tcPr>
          <w:p w14:paraId="58587AB3" w14:textId="77777777" w:rsidR="00917547" w:rsidRDefault="00917547" w:rsidP="000A2052">
            <w:pPr>
              <w:pStyle w:val="BMSBodyText"/>
            </w:pPr>
            <w:r>
              <w:t>The definition of hazardous substances according to the Regulations includes a wide range of materials encompassing:</w:t>
            </w:r>
          </w:p>
        </w:tc>
      </w:tr>
      <w:tr w:rsidR="00917547" w:rsidRPr="009A5868" w14:paraId="6FC7183D" w14:textId="77777777" w:rsidTr="00FB6941">
        <w:trPr>
          <w:cantSplit/>
        </w:trPr>
        <w:tc>
          <w:tcPr>
            <w:tcW w:w="534" w:type="dxa"/>
          </w:tcPr>
          <w:p w14:paraId="15555209" w14:textId="77777777" w:rsidR="00917547" w:rsidRPr="008819A7" w:rsidRDefault="00917547" w:rsidP="000A2052">
            <w:pPr>
              <w:pStyle w:val="BMSBodyText"/>
              <w:ind w:left="142"/>
            </w:pPr>
          </w:p>
        </w:tc>
        <w:tc>
          <w:tcPr>
            <w:tcW w:w="10064" w:type="dxa"/>
          </w:tcPr>
          <w:p w14:paraId="0538D16E" w14:textId="77777777" w:rsidR="00917547" w:rsidRDefault="00917547" w:rsidP="000A2052">
            <w:pPr>
              <w:pStyle w:val="BMSBodyText"/>
              <w:numPr>
                <w:ilvl w:val="0"/>
                <w:numId w:val="13"/>
              </w:numPr>
            </w:pPr>
            <w:r>
              <w:t>Manufactured substances and preparations used directly in work activities (</w:t>
            </w:r>
            <w:proofErr w:type="spellStart"/>
            <w:r>
              <w:t>eg</w:t>
            </w:r>
            <w:proofErr w:type="spellEnd"/>
            <w:r>
              <w:t xml:space="preserve"> adhesives, paints, cleaning agents);</w:t>
            </w:r>
          </w:p>
        </w:tc>
      </w:tr>
      <w:tr w:rsidR="00917547" w:rsidRPr="009A5868" w14:paraId="0AE6BE70" w14:textId="77777777" w:rsidTr="00FB6941">
        <w:trPr>
          <w:cantSplit/>
        </w:trPr>
        <w:tc>
          <w:tcPr>
            <w:tcW w:w="534" w:type="dxa"/>
          </w:tcPr>
          <w:p w14:paraId="43F9CD9A" w14:textId="77777777" w:rsidR="00917547" w:rsidRPr="008819A7" w:rsidRDefault="00917547" w:rsidP="000A2052">
            <w:pPr>
              <w:pStyle w:val="BMSBodyText"/>
              <w:ind w:left="142"/>
            </w:pPr>
          </w:p>
        </w:tc>
        <w:tc>
          <w:tcPr>
            <w:tcW w:w="10064" w:type="dxa"/>
          </w:tcPr>
          <w:p w14:paraId="615166EF" w14:textId="77777777" w:rsidR="00917547" w:rsidRDefault="00917547" w:rsidP="000A2052">
            <w:pPr>
              <w:pStyle w:val="BMSBodyText"/>
              <w:numPr>
                <w:ilvl w:val="0"/>
                <w:numId w:val="13"/>
              </w:numPr>
            </w:pPr>
            <w:r>
              <w:t>Process generated substances (e.g. fumes from soldering and welding, diesel engine exhaust fumes);</w:t>
            </w:r>
          </w:p>
        </w:tc>
      </w:tr>
      <w:tr w:rsidR="00917547" w:rsidRPr="009A5868" w14:paraId="7705C688" w14:textId="77777777" w:rsidTr="00FB6941">
        <w:trPr>
          <w:cantSplit/>
        </w:trPr>
        <w:tc>
          <w:tcPr>
            <w:tcW w:w="534" w:type="dxa"/>
          </w:tcPr>
          <w:p w14:paraId="51247979" w14:textId="77777777" w:rsidR="00917547" w:rsidRPr="008819A7" w:rsidRDefault="00917547" w:rsidP="000A2052">
            <w:pPr>
              <w:pStyle w:val="BMSBodyText"/>
              <w:ind w:left="142"/>
            </w:pPr>
          </w:p>
        </w:tc>
        <w:tc>
          <w:tcPr>
            <w:tcW w:w="10064" w:type="dxa"/>
          </w:tcPr>
          <w:p w14:paraId="7F54E5EE" w14:textId="44FF29F6" w:rsidR="00917547" w:rsidRDefault="00917547" w:rsidP="000A2052">
            <w:pPr>
              <w:pStyle w:val="BMSBodyText"/>
              <w:numPr>
                <w:ilvl w:val="0"/>
                <w:numId w:val="13"/>
              </w:numPr>
            </w:pPr>
            <w:r>
              <w:t>Naturally occurring substances (e.g.  wood dust, stone dust,  plant sap</w:t>
            </w:r>
            <w:r w:rsidR="007C6955">
              <w:t>)</w:t>
            </w:r>
          </w:p>
        </w:tc>
      </w:tr>
      <w:tr w:rsidR="00917547" w:rsidRPr="009A5868" w14:paraId="0E3E4681" w14:textId="77777777" w:rsidTr="00FB6941">
        <w:trPr>
          <w:cantSplit/>
        </w:trPr>
        <w:tc>
          <w:tcPr>
            <w:tcW w:w="534" w:type="dxa"/>
          </w:tcPr>
          <w:p w14:paraId="339E3EFA" w14:textId="77777777" w:rsidR="00917547" w:rsidRPr="008819A7" w:rsidRDefault="00917547" w:rsidP="000A2052">
            <w:pPr>
              <w:pStyle w:val="BMSBodyText"/>
              <w:ind w:left="142"/>
            </w:pPr>
          </w:p>
        </w:tc>
        <w:tc>
          <w:tcPr>
            <w:tcW w:w="10064" w:type="dxa"/>
          </w:tcPr>
          <w:p w14:paraId="58E2C221" w14:textId="77777777" w:rsidR="00917547" w:rsidRDefault="00917547" w:rsidP="000A2052">
            <w:pPr>
              <w:pStyle w:val="BMSBodyText"/>
              <w:numPr>
                <w:ilvl w:val="0"/>
                <w:numId w:val="13"/>
              </w:numPr>
            </w:pPr>
            <w:r>
              <w:t>Biological agents such as bacteria and other micro-organisms (e.g. legionella organisms).</w:t>
            </w:r>
          </w:p>
        </w:tc>
      </w:tr>
      <w:tr w:rsidR="00917547" w:rsidRPr="009A5868" w14:paraId="5F5D0A90" w14:textId="77777777" w:rsidTr="00FB6941">
        <w:trPr>
          <w:cantSplit/>
        </w:trPr>
        <w:tc>
          <w:tcPr>
            <w:tcW w:w="534" w:type="dxa"/>
          </w:tcPr>
          <w:p w14:paraId="06238687" w14:textId="77777777" w:rsidR="00917547" w:rsidRPr="008819A7" w:rsidRDefault="00917547" w:rsidP="000A2052">
            <w:pPr>
              <w:pStyle w:val="BMSBodyText"/>
              <w:numPr>
                <w:ilvl w:val="1"/>
                <w:numId w:val="9"/>
              </w:numPr>
              <w:ind w:left="142"/>
            </w:pPr>
          </w:p>
        </w:tc>
        <w:tc>
          <w:tcPr>
            <w:tcW w:w="10064" w:type="dxa"/>
          </w:tcPr>
          <w:p w14:paraId="1BEC9D58" w14:textId="77777777" w:rsidR="00917547" w:rsidRDefault="00917547" w:rsidP="000A2052">
            <w:pPr>
              <w:pStyle w:val="BMSBodyText"/>
            </w:pPr>
            <w:r>
              <w:t>Examples of the possible health effects of hazardous substances include:</w:t>
            </w:r>
          </w:p>
        </w:tc>
      </w:tr>
      <w:tr w:rsidR="00917547" w:rsidRPr="009A5868" w14:paraId="3382DB57" w14:textId="77777777" w:rsidTr="00FB6941">
        <w:trPr>
          <w:cantSplit/>
        </w:trPr>
        <w:tc>
          <w:tcPr>
            <w:tcW w:w="534" w:type="dxa"/>
          </w:tcPr>
          <w:p w14:paraId="0F6B2F1A" w14:textId="77777777" w:rsidR="00917547" w:rsidRPr="008819A7" w:rsidRDefault="00917547" w:rsidP="000A2052">
            <w:pPr>
              <w:pStyle w:val="BMSBodyText"/>
              <w:ind w:left="142"/>
            </w:pPr>
          </w:p>
        </w:tc>
        <w:tc>
          <w:tcPr>
            <w:tcW w:w="10064" w:type="dxa"/>
          </w:tcPr>
          <w:p w14:paraId="1DFAA46E" w14:textId="77777777" w:rsidR="00917547" w:rsidRDefault="00917547" w:rsidP="000A2052">
            <w:pPr>
              <w:pStyle w:val="BMSBodyText"/>
              <w:numPr>
                <w:ilvl w:val="0"/>
                <w:numId w:val="11"/>
              </w:numPr>
            </w:pPr>
            <w:r>
              <w:t xml:space="preserve">Skin irritation or dermatitis as a result of contact with skin irritants or skin </w:t>
            </w:r>
            <w:proofErr w:type="spellStart"/>
            <w:r>
              <w:t>sensitisers</w:t>
            </w:r>
            <w:proofErr w:type="spellEnd"/>
            <w:r>
              <w:t>;</w:t>
            </w:r>
          </w:p>
        </w:tc>
      </w:tr>
      <w:tr w:rsidR="00917547" w:rsidRPr="009A5868" w14:paraId="71D27D78" w14:textId="77777777" w:rsidTr="00FB6941">
        <w:trPr>
          <w:cantSplit/>
        </w:trPr>
        <w:tc>
          <w:tcPr>
            <w:tcW w:w="534" w:type="dxa"/>
          </w:tcPr>
          <w:p w14:paraId="3E25681B" w14:textId="77777777" w:rsidR="00917547" w:rsidRPr="008819A7" w:rsidRDefault="00917547" w:rsidP="000A2052">
            <w:pPr>
              <w:pStyle w:val="BMSBodyText"/>
              <w:ind w:left="142"/>
            </w:pPr>
          </w:p>
        </w:tc>
        <w:tc>
          <w:tcPr>
            <w:tcW w:w="10064" w:type="dxa"/>
          </w:tcPr>
          <w:p w14:paraId="3C17A2EF" w14:textId="77777777" w:rsidR="00917547" w:rsidRDefault="00917547" w:rsidP="000A2052">
            <w:pPr>
              <w:pStyle w:val="BMSBodyText"/>
              <w:numPr>
                <w:ilvl w:val="0"/>
                <w:numId w:val="11"/>
              </w:numPr>
            </w:pPr>
            <w:r>
              <w:t xml:space="preserve">Asthma as a result of inhaling respiratory </w:t>
            </w:r>
            <w:proofErr w:type="spellStart"/>
            <w:r>
              <w:t>sensitisers</w:t>
            </w:r>
            <w:proofErr w:type="spellEnd"/>
            <w:r>
              <w:t xml:space="preserve"> (</w:t>
            </w:r>
            <w:proofErr w:type="spellStart"/>
            <w:r>
              <w:t>asthmagens</w:t>
            </w:r>
            <w:proofErr w:type="spellEnd"/>
            <w:r>
              <w:t>) e.g. spraying with isocyanate-based paints;</w:t>
            </w:r>
          </w:p>
        </w:tc>
      </w:tr>
      <w:tr w:rsidR="00917547" w:rsidRPr="009A5868" w14:paraId="1A6E8F75" w14:textId="77777777" w:rsidTr="00FB6941">
        <w:trPr>
          <w:cantSplit/>
        </w:trPr>
        <w:tc>
          <w:tcPr>
            <w:tcW w:w="534" w:type="dxa"/>
          </w:tcPr>
          <w:p w14:paraId="33244BD9" w14:textId="77777777" w:rsidR="00917547" w:rsidRPr="008819A7" w:rsidRDefault="00917547" w:rsidP="000A2052">
            <w:pPr>
              <w:pStyle w:val="BMSBodyText"/>
              <w:ind w:left="142"/>
            </w:pPr>
          </w:p>
        </w:tc>
        <w:tc>
          <w:tcPr>
            <w:tcW w:w="10064" w:type="dxa"/>
          </w:tcPr>
          <w:p w14:paraId="127E82DA" w14:textId="1D2EBA95" w:rsidR="00917547" w:rsidRDefault="00917547" w:rsidP="00DD42C2">
            <w:pPr>
              <w:pStyle w:val="BMSBodyText"/>
              <w:numPr>
                <w:ilvl w:val="0"/>
                <w:numId w:val="11"/>
              </w:numPr>
            </w:pPr>
            <w:r>
              <w:t xml:space="preserve">Respiratory disease as a result of inhaling </w:t>
            </w:r>
            <w:r w:rsidR="00DD42C2">
              <w:t xml:space="preserve">fumes </w:t>
            </w:r>
            <w:r>
              <w:t xml:space="preserve">e.g. </w:t>
            </w:r>
            <w:r w:rsidR="00DD42C2">
              <w:t xml:space="preserve"> welding fumes</w:t>
            </w:r>
            <w:r>
              <w:t>;</w:t>
            </w:r>
          </w:p>
        </w:tc>
      </w:tr>
      <w:tr w:rsidR="00917547" w:rsidRPr="009A5868" w14:paraId="11B60E06" w14:textId="77777777" w:rsidTr="00FB6941">
        <w:trPr>
          <w:cantSplit/>
        </w:trPr>
        <w:tc>
          <w:tcPr>
            <w:tcW w:w="534" w:type="dxa"/>
          </w:tcPr>
          <w:p w14:paraId="1E824011" w14:textId="77777777" w:rsidR="00917547" w:rsidRPr="008819A7" w:rsidRDefault="00917547" w:rsidP="000A2052">
            <w:pPr>
              <w:pStyle w:val="BMSBodyText"/>
              <w:ind w:left="142"/>
            </w:pPr>
          </w:p>
        </w:tc>
        <w:tc>
          <w:tcPr>
            <w:tcW w:w="10064" w:type="dxa"/>
          </w:tcPr>
          <w:p w14:paraId="05E0875F" w14:textId="77777777" w:rsidR="00917547" w:rsidRDefault="00917547" w:rsidP="000A2052">
            <w:pPr>
              <w:pStyle w:val="BMSBodyText"/>
              <w:numPr>
                <w:ilvl w:val="0"/>
                <w:numId w:val="11"/>
              </w:numPr>
            </w:pPr>
            <w:r>
              <w:t>Losing consciousness as a result of lack of oxygen e.g. asphyxiants such as nitrogen gas;</w:t>
            </w:r>
          </w:p>
        </w:tc>
      </w:tr>
      <w:tr w:rsidR="00917547" w:rsidRPr="009A5868" w14:paraId="5B0F5E0B" w14:textId="77777777" w:rsidTr="00FB6941">
        <w:trPr>
          <w:cantSplit/>
        </w:trPr>
        <w:tc>
          <w:tcPr>
            <w:tcW w:w="534" w:type="dxa"/>
          </w:tcPr>
          <w:p w14:paraId="1044ACBD" w14:textId="77777777" w:rsidR="00917547" w:rsidRPr="008819A7" w:rsidRDefault="00917547" w:rsidP="000A2052">
            <w:pPr>
              <w:pStyle w:val="BMSBodyText"/>
              <w:ind w:left="142"/>
            </w:pPr>
          </w:p>
        </w:tc>
        <w:tc>
          <w:tcPr>
            <w:tcW w:w="10064" w:type="dxa"/>
          </w:tcPr>
          <w:p w14:paraId="35A376BF" w14:textId="77777777" w:rsidR="00917547" w:rsidRDefault="00917547" w:rsidP="000A2052">
            <w:pPr>
              <w:pStyle w:val="BMSBodyText"/>
              <w:numPr>
                <w:ilvl w:val="0"/>
                <w:numId w:val="11"/>
              </w:numPr>
            </w:pPr>
            <w:r>
              <w:t xml:space="preserve">Infection from bacteria and other micro-organisms (biological agents) e.g. Legionnaires disease and </w:t>
            </w:r>
            <w:proofErr w:type="spellStart"/>
            <w:r>
              <w:t>Weils</w:t>
            </w:r>
            <w:proofErr w:type="spellEnd"/>
            <w:r>
              <w:t xml:space="preserve"> disease. This does not include infections contracted in the community such as colds and flu.</w:t>
            </w:r>
          </w:p>
        </w:tc>
      </w:tr>
      <w:tr w:rsidR="00917547" w:rsidRPr="009A5868" w14:paraId="628DC22F" w14:textId="77777777" w:rsidTr="00FB6941">
        <w:trPr>
          <w:cantSplit/>
        </w:trPr>
        <w:tc>
          <w:tcPr>
            <w:tcW w:w="534" w:type="dxa"/>
          </w:tcPr>
          <w:p w14:paraId="7797B1F8" w14:textId="77777777" w:rsidR="00917547" w:rsidRPr="008819A7" w:rsidRDefault="00917547" w:rsidP="000A2052">
            <w:pPr>
              <w:pStyle w:val="BMSBodyText"/>
              <w:ind w:left="142"/>
            </w:pPr>
          </w:p>
        </w:tc>
        <w:tc>
          <w:tcPr>
            <w:tcW w:w="10064" w:type="dxa"/>
          </w:tcPr>
          <w:p w14:paraId="11937F77" w14:textId="0BF9941E" w:rsidR="00917547" w:rsidRDefault="00917547" w:rsidP="000A2052">
            <w:pPr>
              <w:pStyle w:val="BMSMainHeading"/>
              <w:numPr>
                <w:ilvl w:val="0"/>
                <w:numId w:val="11"/>
              </w:numPr>
            </w:pPr>
            <w:r w:rsidRPr="00DD1F7C">
              <w:rPr>
                <w:b w:val="0"/>
                <w:caps w:val="0"/>
              </w:rPr>
              <w:t>Cancer, which may appear long after the exposure to the chemical that caused it</w:t>
            </w:r>
            <w:r>
              <w:rPr>
                <w:b w:val="0"/>
                <w:caps w:val="0"/>
              </w:rPr>
              <w:t xml:space="preserve"> e.g. some arsenic and chrome compounds</w:t>
            </w:r>
            <w:r w:rsidR="007C6955">
              <w:rPr>
                <w:b w:val="0"/>
                <w:caps w:val="0"/>
              </w:rPr>
              <w:t>, or fumes including diesel exhaust fumes</w:t>
            </w:r>
          </w:p>
        </w:tc>
      </w:tr>
      <w:tr w:rsidR="00917547" w:rsidRPr="009A5868" w14:paraId="50B3FB0A" w14:textId="77777777" w:rsidTr="00FB6941">
        <w:trPr>
          <w:cantSplit/>
        </w:trPr>
        <w:tc>
          <w:tcPr>
            <w:tcW w:w="534" w:type="dxa"/>
          </w:tcPr>
          <w:p w14:paraId="735F69A0" w14:textId="77777777" w:rsidR="00917547" w:rsidRPr="008819A7" w:rsidRDefault="00917547" w:rsidP="000A2052">
            <w:pPr>
              <w:pStyle w:val="BMSBodyText"/>
              <w:numPr>
                <w:ilvl w:val="1"/>
                <w:numId w:val="9"/>
              </w:numPr>
              <w:ind w:left="142"/>
            </w:pPr>
          </w:p>
        </w:tc>
        <w:tc>
          <w:tcPr>
            <w:tcW w:w="10064" w:type="dxa"/>
          </w:tcPr>
          <w:p w14:paraId="2E641630" w14:textId="77777777" w:rsidR="00917547" w:rsidRDefault="00917547" w:rsidP="000A2052">
            <w:pPr>
              <w:pStyle w:val="BMSBodyText"/>
            </w:pPr>
            <w:r>
              <w:t xml:space="preserve">The purpose of an assessment is to make valid decisions about what needs to be done to prevent or control exposure to SHH. This will take account of the method of work, the route(s) of entry into the body and the extent of the likely exposure posed by the work. When carrying out an assessment, the assessor will therefore have a good understanding of the process or task and the assessment will not consider the SHH in isolation. The necessary measures identified by the assessment will be in proportion to the risk presented – this means the greater the risk to health, the more effort will be put into the means of achieving control. </w:t>
            </w:r>
          </w:p>
        </w:tc>
      </w:tr>
      <w:tr w:rsidR="00917547" w:rsidRPr="009A5868" w14:paraId="17D25B77" w14:textId="77777777" w:rsidTr="00FB6941">
        <w:trPr>
          <w:cantSplit/>
        </w:trPr>
        <w:tc>
          <w:tcPr>
            <w:tcW w:w="534" w:type="dxa"/>
          </w:tcPr>
          <w:p w14:paraId="23B2930A" w14:textId="77777777" w:rsidR="00917547" w:rsidRPr="008819A7" w:rsidRDefault="00917547" w:rsidP="000A2052">
            <w:pPr>
              <w:pStyle w:val="BMSBodyText"/>
              <w:numPr>
                <w:ilvl w:val="1"/>
                <w:numId w:val="9"/>
              </w:numPr>
              <w:ind w:left="142"/>
            </w:pPr>
          </w:p>
        </w:tc>
        <w:tc>
          <w:tcPr>
            <w:tcW w:w="10064" w:type="dxa"/>
          </w:tcPr>
          <w:p w14:paraId="14BFA966" w14:textId="75F75735" w:rsidR="00917547" w:rsidRDefault="00917547" w:rsidP="000A2052">
            <w:pPr>
              <w:pStyle w:val="BMSBodyText"/>
            </w:pPr>
            <w:r>
              <w:t>The prio</w:t>
            </w:r>
            <w:r w:rsidR="00FE5C03">
              <w:t>rity, and legal requirement, is</w:t>
            </w:r>
            <w:r>
              <w:t xml:space="preserve"> to prevent exposure where reasonably practicable without resorting to the use of PPE. Consideration must be given to:</w:t>
            </w:r>
          </w:p>
        </w:tc>
      </w:tr>
      <w:tr w:rsidR="00917547" w:rsidRPr="009A5868" w14:paraId="616E02D5" w14:textId="77777777" w:rsidTr="00FB6941">
        <w:trPr>
          <w:cantSplit/>
        </w:trPr>
        <w:tc>
          <w:tcPr>
            <w:tcW w:w="534" w:type="dxa"/>
          </w:tcPr>
          <w:p w14:paraId="7C0B9A8D" w14:textId="77777777" w:rsidR="00917547" w:rsidRPr="008819A7" w:rsidRDefault="00917547" w:rsidP="000A2052">
            <w:pPr>
              <w:pStyle w:val="BMSBodyText"/>
              <w:ind w:left="142"/>
            </w:pPr>
          </w:p>
        </w:tc>
        <w:tc>
          <w:tcPr>
            <w:tcW w:w="10064" w:type="dxa"/>
          </w:tcPr>
          <w:p w14:paraId="64350782" w14:textId="77777777" w:rsidR="00917547" w:rsidRDefault="00917547" w:rsidP="000A2052">
            <w:pPr>
              <w:pStyle w:val="BMSBodyText"/>
              <w:numPr>
                <w:ilvl w:val="0"/>
                <w:numId w:val="11"/>
              </w:numPr>
            </w:pPr>
            <w:r>
              <w:t>Changing the method of work so that the process generating the exposure no longer occurs</w:t>
            </w:r>
          </w:p>
        </w:tc>
      </w:tr>
      <w:tr w:rsidR="00917547" w:rsidRPr="009A5868" w14:paraId="08B44205" w14:textId="77777777" w:rsidTr="00FB6941">
        <w:trPr>
          <w:cantSplit/>
        </w:trPr>
        <w:tc>
          <w:tcPr>
            <w:tcW w:w="534" w:type="dxa"/>
          </w:tcPr>
          <w:p w14:paraId="546F81D7" w14:textId="77777777" w:rsidR="00917547" w:rsidRPr="008819A7" w:rsidRDefault="00917547" w:rsidP="000A2052">
            <w:pPr>
              <w:pStyle w:val="BMSBodyText"/>
              <w:ind w:left="142"/>
            </w:pPr>
          </w:p>
        </w:tc>
        <w:tc>
          <w:tcPr>
            <w:tcW w:w="10064" w:type="dxa"/>
          </w:tcPr>
          <w:p w14:paraId="54D4F47D" w14:textId="77777777" w:rsidR="00917547" w:rsidRDefault="00917547" w:rsidP="000A2052">
            <w:pPr>
              <w:pStyle w:val="BMSBodyText"/>
              <w:numPr>
                <w:ilvl w:val="0"/>
                <w:numId w:val="11"/>
              </w:numPr>
            </w:pPr>
            <w:r>
              <w:t>Modifying the process so that the SHH is no longer generated</w:t>
            </w:r>
          </w:p>
        </w:tc>
      </w:tr>
      <w:tr w:rsidR="00917547" w:rsidRPr="009A5868" w14:paraId="000D0194" w14:textId="77777777" w:rsidTr="00FB6941">
        <w:trPr>
          <w:cantSplit/>
        </w:trPr>
        <w:tc>
          <w:tcPr>
            <w:tcW w:w="534" w:type="dxa"/>
          </w:tcPr>
          <w:p w14:paraId="06556ECB" w14:textId="77777777" w:rsidR="00917547" w:rsidRPr="008819A7" w:rsidRDefault="00917547" w:rsidP="000A2052">
            <w:pPr>
              <w:pStyle w:val="BMSBodyText"/>
              <w:ind w:left="142"/>
            </w:pPr>
          </w:p>
        </w:tc>
        <w:tc>
          <w:tcPr>
            <w:tcW w:w="10064" w:type="dxa"/>
          </w:tcPr>
          <w:p w14:paraId="16882556" w14:textId="77777777" w:rsidR="00917547" w:rsidRDefault="00917547" w:rsidP="000A2052">
            <w:pPr>
              <w:pStyle w:val="BMSBodyText"/>
              <w:numPr>
                <w:ilvl w:val="0"/>
                <w:numId w:val="11"/>
              </w:numPr>
            </w:pPr>
            <w:r>
              <w:t>Substituting the SHH with a non-toxic alternative</w:t>
            </w:r>
          </w:p>
        </w:tc>
      </w:tr>
      <w:tr w:rsidR="00917547" w:rsidRPr="009A5868" w14:paraId="72AC7F38" w14:textId="77777777" w:rsidTr="00FB6941">
        <w:trPr>
          <w:cantSplit/>
        </w:trPr>
        <w:tc>
          <w:tcPr>
            <w:tcW w:w="534" w:type="dxa"/>
          </w:tcPr>
          <w:p w14:paraId="0E023A20" w14:textId="77777777" w:rsidR="00917547" w:rsidRPr="008819A7" w:rsidRDefault="00917547" w:rsidP="000A2052">
            <w:pPr>
              <w:pStyle w:val="BMSBodyText"/>
              <w:numPr>
                <w:ilvl w:val="1"/>
                <w:numId w:val="9"/>
              </w:numPr>
              <w:ind w:left="142"/>
            </w:pPr>
          </w:p>
        </w:tc>
        <w:tc>
          <w:tcPr>
            <w:tcW w:w="10064" w:type="dxa"/>
          </w:tcPr>
          <w:p w14:paraId="067C8950" w14:textId="77777777" w:rsidR="00917547" w:rsidRDefault="00917547" w:rsidP="000A2052">
            <w:pPr>
              <w:pStyle w:val="BMSBodyText"/>
            </w:pPr>
            <w:r>
              <w:t>Where the above is not reasonably practicable, exposure will be adequately controlled by considering the following:</w:t>
            </w:r>
          </w:p>
        </w:tc>
      </w:tr>
      <w:tr w:rsidR="00917547" w:rsidRPr="009A5868" w14:paraId="7266FD67" w14:textId="77777777" w:rsidTr="00FB6941">
        <w:trPr>
          <w:cantSplit/>
        </w:trPr>
        <w:tc>
          <w:tcPr>
            <w:tcW w:w="534" w:type="dxa"/>
          </w:tcPr>
          <w:p w14:paraId="5E998816" w14:textId="77777777" w:rsidR="00917547" w:rsidRPr="008819A7" w:rsidRDefault="00917547" w:rsidP="000A2052">
            <w:pPr>
              <w:pStyle w:val="BMSBodyText"/>
              <w:ind w:left="142"/>
            </w:pPr>
          </w:p>
        </w:tc>
        <w:tc>
          <w:tcPr>
            <w:tcW w:w="10064" w:type="dxa"/>
          </w:tcPr>
          <w:p w14:paraId="4306AEA6" w14:textId="77777777" w:rsidR="00917547" w:rsidRDefault="00917547" w:rsidP="000A2052">
            <w:pPr>
              <w:pStyle w:val="BMSBodyText"/>
              <w:numPr>
                <w:ilvl w:val="0"/>
                <w:numId w:val="10"/>
              </w:numPr>
            </w:pPr>
            <w:r>
              <w:t>Substitution with a lower hazard material</w:t>
            </w:r>
          </w:p>
        </w:tc>
      </w:tr>
      <w:tr w:rsidR="00917547" w:rsidRPr="009A5868" w14:paraId="70122828" w14:textId="77777777" w:rsidTr="00FB6941">
        <w:trPr>
          <w:cantSplit/>
        </w:trPr>
        <w:tc>
          <w:tcPr>
            <w:tcW w:w="534" w:type="dxa"/>
          </w:tcPr>
          <w:p w14:paraId="74145638" w14:textId="77777777" w:rsidR="00917547" w:rsidRPr="008819A7" w:rsidRDefault="00917547" w:rsidP="000A2052">
            <w:pPr>
              <w:pStyle w:val="BMSBodyText"/>
              <w:ind w:left="142"/>
            </w:pPr>
          </w:p>
        </w:tc>
        <w:tc>
          <w:tcPr>
            <w:tcW w:w="10064" w:type="dxa"/>
          </w:tcPr>
          <w:p w14:paraId="4B3CA1A6" w14:textId="77777777" w:rsidR="00917547" w:rsidRDefault="00917547" w:rsidP="000A2052">
            <w:pPr>
              <w:pStyle w:val="BMSBodyText"/>
              <w:numPr>
                <w:ilvl w:val="0"/>
                <w:numId w:val="10"/>
              </w:numPr>
            </w:pPr>
            <w:r>
              <w:t>Using a different form of the material with a lower potential for exposure, e.g. pastes or pellets instead of powders</w:t>
            </w:r>
          </w:p>
        </w:tc>
      </w:tr>
      <w:tr w:rsidR="00917547" w:rsidRPr="009A5868" w14:paraId="5D7D8EC5" w14:textId="77777777" w:rsidTr="00FB6941">
        <w:trPr>
          <w:cantSplit/>
        </w:trPr>
        <w:tc>
          <w:tcPr>
            <w:tcW w:w="534" w:type="dxa"/>
          </w:tcPr>
          <w:p w14:paraId="039B71FC" w14:textId="77777777" w:rsidR="00917547" w:rsidRPr="008819A7" w:rsidRDefault="00917547" w:rsidP="000A2052">
            <w:pPr>
              <w:pStyle w:val="BMSBodyText"/>
              <w:ind w:left="142"/>
            </w:pPr>
          </w:p>
        </w:tc>
        <w:tc>
          <w:tcPr>
            <w:tcW w:w="10064" w:type="dxa"/>
          </w:tcPr>
          <w:p w14:paraId="7D706FCA" w14:textId="77777777" w:rsidR="00917547" w:rsidRPr="00DD1F7C" w:rsidRDefault="00917547" w:rsidP="000A2052">
            <w:pPr>
              <w:pStyle w:val="BMSBodyText"/>
              <w:numPr>
                <w:ilvl w:val="0"/>
                <w:numId w:val="10"/>
              </w:numPr>
            </w:pPr>
            <w:r>
              <w:t xml:space="preserve">Changing the process to reduce the potential for exposure e.g. roller application instead of spraying </w:t>
            </w:r>
          </w:p>
        </w:tc>
      </w:tr>
      <w:tr w:rsidR="00917547" w:rsidRPr="009A5868" w14:paraId="646B5BF7" w14:textId="77777777" w:rsidTr="00FB6941">
        <w:trPr>
          <w:cantSplit/>
        </w:trPr>
        <w:tc>
          <w:tcPr>
            <w:tcW w:w="534" w:type="dxa"/>
          </w:tcPr>
          <w:p w14:paraId="34DAF51B" w14:textId="77777777" w:rsidR="00917547" w:rsidRPr="008819A7" w:rsidRDefault="00917547" w:rsidP="000A2052">
            <w:pPr>
              <w:pStyle w:val="BMSBodyText"/>
              <w:numPr>
                <w:ilvl w:val="1"/>
                <w:numId w:val="9"/>
              </w:numPr>
              <w:ind w:left="142"/>
            </w:pPr>
          </w:p>
        </w:tc>
        <w:tc>
          <w:tcPr>
            <w:tcW w:w="10064" w:type="dxa"/>
          </w:tcPr>
          <w:p w14:paraId="4EF9E8F8" w14:textId="77777777" w:rsidR="00917547" w:rsidRDefault="00917547" w:rsidP="000A2052">
            <w:pPr>
              <w:pStyle w:val="BMSBodyText"/>
            </w:pPr>
            <w:r>
              <w:t>Where prevention or substitution is not an option, COSHH requires that control measures are selected and implemented in accordance with the ‘hierarchy of control’. This means applying the following in order of priority:</w:t>
            </w:r>
          </w:p>
        </w:tc>
      </w:tr>
      <w:tr w:rsidR="00917547" w:rsidRPr="009A5868" w14:paraId="2B607AA9" w14:textId="77777777" w:rsidTr="00FB6941">
        <w:trPr>
          <w:cantSplit/>
        </w:trPr>
        <w:tc>
          <w:tcPr>
            <w:tcW w:w="534" w:type="dxa"/>
          </w:tcPr>
          <w:p w14:paraId="05B405D3" w14:textId="77777777" w:rsidR="00917547" w:rsidRPr="008819A7" w:rsidRDefault="00917547" w:rsidP="000A2052">
            <w:pPr>
              <w:pStyle w:val="BMSBodyText"/>
              <w:ind w:left="142"/>
            </w:pPr>
          </w:p>
        </w:tc>
        <w:tc>
          <w:tcPr>
            <w:tcW w:w="10064" w:type="dxa"/>
          </w:tcPr>
          <w:p w14:paraId="66502320" w14:textId="481004ED" w:rsidR="00917547" w:rsidRDefault="00917547" w:rsidP="00055DF0">
            <w:pPr>
              <w:pStyle w:val="BMSBodyText"/>
              <w:numPr>
                <w:ilvl w:val="0"/>
                <w:numId w:val="18"/>
              </w:numPr>
            </w:pPr>
            <w:r>
              <w:t>Design and use of work systems that minimise release and spread of SHH</w:t>
            </w:r>
          </w:p>
        </w:tc>
      </w:tr>
      <w:tr w:rsidR="00917547" w:rsidRPr="009A5868" w14:paraId="728343A3" w14:textId="77777777" w:rsidTr="00FB6941">
        <w:trPr>
          <w:cantSplit/>
        </w:trPr>
        <w:tc>
          <w:tcPr>
            <w:tcW w:w="534" w:type="dxa"/>
          </w:tcPr>
          <w:p w14:paraId="2F4E7EC9" w14:textId="77777777" w:rsidR="00917547" w:rsidRPr="008819A7" w:rsidRDefault="00917547" w:rsidP="000A2052">
            <w:pPr>
              <w:pStyle w:val="BMSBodyText"/>
              <w:ind w:left="142"/>
            </w:pPr>
          </w:p>
        </w:tc>
        <w:tc>
          <w:tcPr>
            <w:tcW w:w="10064" w:type="dxa"/>
          </w:tcPr>
          <w:p w14:paraId="7162B33E" w14:textId="77777777" w:rsidR="00917547" w:rsidRDefault="00917547" w:rsidP="000A2052">
            <w:pPr>
              <w:pStyle w:val="BMSBodyText"/>
              <w:numPr>
                <w:ilvl w:val="0"/>
                <w:numId w:val="18"/>
              </w:numPr>
            </w:pPr>
            <w:r>
              <w:t>Control of exposure at source using engineering controls such as on-tool extraction, local exhaust ventilation (LEV) and enclosures</w:t>
            </w:r>
          </w:p>
        </w:tc>
      </w:tr>
      <w:tr w:rsidR="00917547" w:rsidRPr="009A5868" w14:paraId="412387E0" w14:textId="77777777" w:rsidTr="00FB6941">
        <w:trPr>
          <w:cantSplit/>
        </w:trPr>
        <w:tc>
          <w:tcPr>
            <w:tcW w:w="534" w:type="dxa"/>
          </w:tcPr>
          <w:p w14:paraId="30C6B6A2" w14:textId="77777777" w:rsidR="00917547" w:rsidRPr="008819A7" w:rsidRDefault="00917547" w:rsidP="000A2052">
            <w:pPr>
              <w:pStyle w:val="BMSBodyText"/>
              <w:ind w:left="142"/>
            </w:pPr>
          </w:p>
        </w:tc>
        <w:tc>
          <w:tcPr>
            <w:tcW w:w="10064" w:type="dxa"/>
          </w:tcPr>
          <w:p w14:paraId="5259266A" w14:textId="77777777" w:rsidR="00917547" w:rsidRDefault="00917547" w:rsidP="000A2052">
            <w:pPr>
              <w:pStyle w:val="BMSBodyText"/>
              <w:numPr>
                <w:ilvl w:val="0"/>
                <w:numId w:val="18"/>
              </w:numPr>
            </w:pPr>
            <w:r>
              <w:t>Where 1) and 2) above cannot achieve adequate control, suitable PPE will be provided including, where appropriate, RPE.</w:t>
            </w:r>
          </w:p>
        </w:tc>
      </w:tr>
      <w:tr w:rsidR="00917547" w:rsidRPr="009A5868" w14:paraId="267920A6" w14:textId="77777777" w:rsidTr="00FB6941">
        <w:trPr>
          <w:cantSplit/>
        </w:trPr>
        <w:tc>
          <w:tcPr>
            <w:tcW w:w="534" w:type="dxa"/>
          </w:tcPr>
          <w:p w14:paraId="0B206E46" w14:textId="77777777" w:rsidR="00917547" w:rsidRPr="008819A7" w:rsidRDefault="00917547" w:rsidP="000A2052">
            <w:pPr>
              <w:pStyle w:val="BMSBodyText"/>
              <w:numPr>
                <w:ilvl w:val="1"/>
                <w:numId w:val="9"/>
              </w:numPr>
              <w:ind w:left="142"/>
            </w:pPr>
          </w:p>
        </w:tc>
        <w:tc>
          <w:tcPr>
            <w:tcW w:w="10064" w:type="dxa"/>
          </w:tcPr>
          <w:p w14:paraId="76333B5C" w14:textId="77777777" w:rsidR="00917547" w:rsidRDefault="00917547" w:rsidP="000A2052">
            <w:pPr>
              <w:pStyle w:val="BMSBodyText"/>
            </w:pPr>
            <w:r>
              <w:t>The amount of information recorded should be in proportion to the risk presented be the activity - the greater the risk, the more detailed the record should be. The COSHH Regulations require only the significant findings of the assessment and the steps taken to achieve control be recorded.  The record may refer to and rely on any relevant policy or procedure.  The record must be accessible and understandable to everyone who is affected by the assessed activity.</w:t>
            </w:r>
          </w:p>
        </w:tc>
      </w:tr>
      <w:tr w:rsidR="00917547" w:rsidRPr="009A5868" w14:paraId="66ABFD13" w14:textId="77777777" w:rsidTr="00FB6941">
        <w:trPr>
          <w:cantSplit/>
        </w:trPr>
        <w:tc>
          <w:tcPr>
            <w:tcW w:w="534" w:type="dxa"/>
          </w:tcPr>
          <w:p w14:paraId="5160E2B3" w14:textId="77777777" w:rsidR="00917547" w:rsidRPr="008819A7" w:rsidRDefault="00917547" w:rsidP="0023242F">
            <w:pPr>
              <w:pStyle w:val="BMSBodyText"/>
              <w:keepNext/>
              <w:numPr>
                <w:ilvl w:val="0"/>
                <w:numId w:val="9"/>
              </w:numPr>
            </w:pPr>
          </w:p>
        </w:tc>
        <w:tc>
          <w:tcPr>
            <w:tcW w:w="10064" w:type="dxa"/>
          </w:tcPr>
          <w:p w14:paraId="0CE5CB11" w14:textId="77777777" w:rsidR="00917547" w:rsidRDefault="00917547" w:rsidP="0023242F">
            <w:pPr>
              <w:pStyle w:val="BMSMainHeading"/>
              <w:keepNext/>
            </w:pPr>
            <w:r>
              <w:t>MAINTENANCE</w:t>
            </w:r>
          </w:p>
        </w:tc>
      </w:tr>
      <w:tr w:rsidR="00917547" w:rsidRPr="009A5868" w14:paraId="28DE189B" w14:textId="77777777" w:rsidTr="00FB6941">
        <w:trPr>
          <w:cantSplit/>
        </w:trPr>
        <w:tc>
          <w:tcPr>
            <w:tcW w:w="534" w:type="dxa"/>
          </w:tcPr>
          <w:p w14:paraId="6F18C10E" w14:textId="77777777" w:rsidR="00917547" w:rsidRPr="008819A7" w:rsidRDefault="00917547" w:rsidP="000A2052">
            <w:pPr>
              <w:pStyle w:val="BMSBodyText"/>
              <w:numPr>
                <w:ilvl w:val="1"/>
                <w:numId w:val="9"/>
              </w:numPr>
              <w:ind w:left="142"/>
            </w:pPr>
          </w:p>
        </w:tc>
        <w:tc>
          <w:tcPr>
            <w:tcW w:w="10064" w:type="dxa"/>
          </w:tcPr>
          <w:p w14:paraId="23B3194B" w14:textId="77777777" w:rsidR="00917547" w:rsidRDefault="00917547" w:rsidP="000A2052">
            <w:pPr>
              <w:pStyle w:val="BMSBodyText"/>
            </w:pPr>
            <w:r>
              <w:t>Selected c</w:t>
            </w:r>
            <w:r w:rsidRPr="00D36BAA">
              <w:t>ontrols</w:t>
            </w:r>
            <w:r>
              <w:t xml:space="preserve"> must be maintained if they are to be effective in the long term. This applies to ‘hardware’ solutions such as LEV and PPE as well as administrative controls such as organisational arrangements, systems of work and training. These will be regularly monitored and reviewed to ensure they continue to be effective. </w:t>
            </w:r>
          </w:p>
        </w:tc>
      </w:tr>
      <w:tr w:rsidR="00917547" w:rsidRPr="009A5868" w14:paraId="3995D363" w14:textId="77777777" w:rsidTr="00FB6941">
        <w:trPr>
          <w:cantSplit/>
        </w:trPr>
        <w:tc>
          <w:tcPr>
            <w:tcW w:w="534" w:type="dxa"/>
          </w:tcPr>
          <w:p w14:paraId="6B62BB49" w14:textId="77777777" w:rsidR="00917547" w:rsidRPr="008819A7" w:rsidRDefault="00917547" w:rsidP="000A2052">
            <w:pPr>
              <w:pStyle w:val="BMSBodyText"/>
              <w:numPr>
                <w:ilvl w:val="1"/>
                <w:numId w:val="9"/>
              </w:numPr>
              <w:ind w:left="142"/>
            </w:pPr>
          </w:p>
        </w:tc>
        <w:tc>
          <w:tcPr>
            <w:tcW w:w="10064" w:type="dxa"/>
          </w:tcPr>
          <w:p w14:paraId="45B7DC93" w14:textId="7FC66C73" w:rsidR="00917547" w:rsidRDefault="00917547" w:rsidP="00D2669E">
            <w:pPr>
              <w:pStyle w:val="BMSBodyText"/>
            </w:pPr>
            <w:r>
              <w:t xml:space="preserve">Specific maintenance requirements are necessary for LEV systems which must be maintained in efficient working order so they continue to provide the necessary protection. This includes a Thorough Examination and Test by a competent person such as a specialist ventilation engineer at intervals no longer than 14 months. A record of the Thorough Examination and Test must be kept for at least 5 years. In addition, regular checks must be carried out in-house to confirm satisfactory condition and performance of the plant. This is likely to include visual inspections for damage and measurement of a performance indicator such as inlet air velocity. The competent person should be consulted for advice on the type of test needed and frequency. </w:t>
            </w:r>
            <w:r w:rsidR="00D2669E">
              <w:t>R</w:t>
            </w:r>
            <w:r>
              <w:t xml:space="preserve">ecords of inspections and measurements </w:t>
            </w:r>
            <w:r w:rsidR="00D2669E">
              <w:t xml:space="preserve">must be kept </w:t>
            </w:r>
            <w:r>
              <w:t xml:space="preserve">in a log book. </w:t>
            </w:r>
            <w:r w:rsidR="002F04A8">
              <w:t xml:space="preserve"> The LEV Test Record Sheet (</w:t>
            </w:r>
            <w:hyperlink r:id="rId24" w:history="1">
              <w:r w:rsidR="002F04A8" w:rsidRPr="002F04A8">
                <w:rPr>
                  <w:rStyle w:val="Hyperlink"/>
                </w:rPr>
                <w:t>HSF-TF-0021b</w:t>
              </w:r>
            </w:hyperlink>
            <w:r w:rsidR="002F04A8">
              <w:t>) is available for use to record inspections where required)</w:t>
            </w:r>
          </w:p>
        </w:tc>
      </w:tr>
      <w:tr w:rsidR="00917547" w:rsidRPr="009A5868" w14:paraId="1EFE5E71" w14:textId="77777777" w:rsidTr="00FB6941">
        <w:trPr>
          <w:cantSplit/>
        </w:trPr>
        <w:tc>
          <w:tcPr>
            <w:tcW w:w="534" w:type="dxa"/>
          </w:tcPr>
          <w:p w14:paraId="43DB4A97" w14:textId="77777777" w:rsidR="00917547" w:rsidRPr="008819A7" w:rsidRDefault="00917547" w:rsidP="000A2052">
            <w:pPr>
              <w:pStyle w:val="BMSBodyText"/>
              <w:numPr>
                <w:ilvl w:val="0"/>
                <w:numId w:val="9"/>
              </w:numPr>
            </w:pPr>
          </w:p>
        </w:tc>
        <w:tc>
          <w:tcPr>
            <w:tcW w:w="10064" w:type="dxa"/>
          </w:tcPr>
          <w:p w14:paraId="4EC96396" w14:textId="77777777" w:rsidR="00917547" w:rsidRDefault="00917547" w:rsidP="000A2052">
            <w:pPr>
              <w:pStyle w:val="BMSMainHeading"/>
            </w:pPr>
            <w:r>
              <w:t>OCCUPATIONAL HYGIENE SERVICES</w:t>
            </w:r>
          </w:p>
        </w:tc>
      </w:tr>
      <w:tr w:rsidR="00917547" w:rsidRPr="009A5868" w14:paraId="7811FFF6" w14:textId="77777777" w:rsidTr="00FB6941">
        <w:trPr>
          <w:cantSplit/>
        </w:trPr>
        <w:tc>
          <w:tcPr>
            <w:tcW w:w="534" w:type="dxa"/>
          </w:tcPr>
          <w:p w14:paraId="1F79CC93" w14:textId="77777777" w:rsidR="00917547" w:rsidRPr="008819A7" w:rsidRDefault="00917547" w:rsidP="000A2052">
            <w:pPr>
              <w:pStyle w:val="BMSBodyText"/>
              <w:numPr>
                <w:ilvl w:val="1"/>
                <w:numId w:val="9"/>
              </w:numPr>
              <w:ind w:left="142"/>
            </w:pPr>
          </w:p>
        </w:tc>
        <w:tc>
          <w:tcPr>
            <w:tcW w:w="10064" w:type="dxa"/>
          </w:tcPr>
          <w:p w14:paraId="1EA9EDBC" w14:textId="472E75A0" w:rsidR="00917547" w:rsidRDefault="00917547" w:rsidP="00341B68">
            <w:pPr>
              <w:pStyle w:val="BMSBodyText"/>
            </w:pPr>
            <w:r w:rsidRPr="00614FAF">
              <w:t xml:space="preserve">In complex situations where potential hazard is high or there is doubt regarding adequacy of control, support may be obtained from an occupational hygienist to assist with assessments or to undertake air monitoring. </w:t>
            </w:r>
            <w:r>
              <w:t xml:space="preserve">A list of service providers is available on the </w:t>
            </w:r>
            <w:r w:rsidRPr="009D3569">
              <w:t>Occupational H</w:t>
            </w:r>
            <w:r w:rsidR="00033A96">
              <w:t>ygiene</w:t>
            </w:r>
            <w:r>
              <w:t xml:space="preserve"> </w:t>
            </w:r>
            <w:hyperlink r:id="rId25" w:history="1">
              <w:r w:rsidRPr="009D3569">
                <w:rPr>
                  <w:rStyle w:val="Hyperlink"/>
                </w:rPr>
                <w:t>section of 360</w:t>
              </w:r>
            </w:hyperlink>
            <w:r>
              <w:t>. .</w:t>
            </w:r>
          </w:p>
        </w:tc>
      </w:tr>
      <w:tr w:rsidR="00917547" w:rsidRPr="009A5868" w14:paraId="48B1DAEF" w14:textId="77777777" w:rsidTr="00FB6941">
        <w:trPr>
          <w:cantSplit/>
        </w:trPr>
        <w:tc>
          <w:tcPr>
            <w:tcW w:w="534" w:type="dxa"/>
          </w:tcPr>
          <w:p w14:paraId="6595892F" w14:textId="77777777" w:rsidR="00917547" w:rsidRPr="008819A7" w:rsidRDefault="00917547" w:rsidP="000A2052">
            <w:pPr>
              <w:pStyle w:val="BMSBodyText"/>
              <w:keepNext/>
              <w:numPr>
                <w:ilvl w:val="0"/>
                <w:numId w:val="9"/>
              </w:numPr>
            </w:pPr>
          </w:p>
        </w:tc>
        <w:tc>
          <w:tcPr>
            <w:tcW w:w="10064" w:type="dxa"/>
          </w:tcPr>
          <w:p w14:paraId="34BCC3D7" w14:textId="77777777" w:rsidR="00917547" w:rsidRPr="00FB2972" w:rsidRDefault="00917547" w:rsidP="000A2052">
            <w:pPr>
              <w:pStyle w:val="BMSMainHeading"/>
              <w:keepNext/>
            </w:pPr>
            <w:r>
              <w:t>subcontractors</w:t>
            </w:r>
          </w:p>
        </w:tc>
      </w:tr>
      <w:tr w:rsidR="00917547" w:rsidRPr="009A5868" w14:paraId="2E5B4269" w14:textId="77777777" w:rsidTr="00FB6941">
        <w:trPr>
          <w:cantSplit/>
        </w:trPr>
        <w:tc>
          <w:tcPr>
            <w:tcW w:w="534" w:type="dxa"/>
          </w:tcPr>
          <w:p w14:paraId="6A28D5C5" w14:textId="77777777" w:rsidR="00917547" w:rsidRPr="008819A7" w:rsidRDefault="00917547" w:rsidP="000A2052">
            <w:pPr>
              <w:pStyle w:val="BMSBodyText"/>
              <w:numPr>
                <w:ilvl w:val="1"/>
                <w:numId w:val="9"/>
              </w:numPr>
              <w:ind w:left="142"/>
            </w:pPr>
          </w:p>
        </w:tc>
        <w:tc>
          <w:tcPr>
            <w:tcW w:w="10064" w:type="dxa"/>
          </w:tcPr>
          <w:p w14:paraId="3B9DC354" w14:textId="77777777" w:rsidR="00917547" w:rsidRDefault="00917547" w:rsidP="000A2052">
            <w:pPr>
              <w:pStyle w:val="BMSBodyText"/>
            </w:pPr>
            <w:r>
              <w:t xml:space="preserve">Prior to works commencing on site, the COSHH Co-ordinator will ensure that subcontractors provide suitable COSHH assessments for their activities.  Assessments will be task related and correctly identify the necessary steps to prevent or adequately control potential exposure associated with the work. They will confirm that their employees have received the correct instruction and have been provided with the necessary control equipment including PPE where appropriate. </w:t>
            </w:r>
          </w:p>
        </w:tc>
      </w:tr>
      <w:tr w:rsidR="00917547" w:rsidRPr="009A5868" w14:paraId="48090B12" w14:textId="77777777" w:rsidTr="00FB6941">
        <w:trPr>
          <w:cantSplit/>
        </w:trPr>
        <w:tc>
          <w:tcPr>
            <w:tcW w:w="534" w:type="dxa"/>
          </w:tcPr>
          <w:p w14:paraId="7E0F8843" w14:textId="77777777" w:rsidR="00917547" w:rsidRPr="008819A7" w:rsidRDefault="00917547" w:rsidP="000A2052">
            <w:pPr>
              <w:pStyle w:val="BMSBodyText"/>
              <w:numPr>
                <w:ilvl w:val="1"/>
                <w:numId w:val="9"/>
              </w:numPr>
              <w:ind w:left="142"/>
            </w:pPr>
          </w:p>
        </w:tc>
        <w:tc>
          <w:tcPr>
            <w:tcW w:w="10064" w:type="dxa"/>
          </w:tcPr>
          <w:p w14:paraId="34EB758A" w14:textId="77777777" w:rsidR="00917547" w:rsidRDefault="00917547" w:rsidP="000A2052">
            <w:pPr>
              <w:pStyle w:val="BMSMainHeading"/>
            </w:pPr>
            <w:r w:rsidRPr="00614FAF">
              <w:rPr>
                <w:b w:val="0"/>
                <w:caps w:val="0"/>
              </w:rPr>
              <w:t>Copies of MSDS are not</w:t>
            </w:r>
            <w:r>
              <w:rPr>
                <w:b w:val="0"/>
                <w:caps w:val="0"/>
              </w:rPr>
              <w:t xml:space="preserve"> sufficient in themselves as a COSHH Assessment. The COSHH Co-ordinators will challenge subcontractors who submit sub-standard assessments.</w:t>
            </w:r>
          </w:p>
        </w:tc>
      </w:tr>
      <w:tr w:rsidR="00917547" w:rsidRPr="009A5868" w14:paraId="3AF0B624" w14:textId="77777777" w:rsidTr="00FB6941">
        <w:trPr>
          <w:cantSplit/>
        </w:trPr>
        <w:tc>
          <w:tcPr>
            <w:tcW w:w="534" w:type="dxa"/>
          </w:tcPr>
          <w:p w14:paraId="1DFA8683" w14:textId="77777777" w:rsidR="00917547" w:rsidRPr="009A5868" w:rsidRDefault="00917547" w:rsidP="000A2052">
            <w:pPr>
              <w:pStyle w:val="BMSBodyText"/>
              <w:numPr>
                <w:ilvl w:val="0"/>
                <w:numId w:val="9"/>
              </w:numPr>
            </w:pPr>
          </w:p>
        </w:tc>
        <w:tc>
          <w:tcPr>
            <w:tcW w:w="10064" w:type="dxa"/>
          </w:tcPr>
          <w:p w14:paraId="2F070251" w14:textId="77777777" w:rsidR="00917547" w:rsidRPr="009A5868" w:rsidRDefault="00917547" w:rsidP="000A2052">
            <w:pPr>
              <w:pStyle w:val="BMSMainHeading"/>
            </w:pPr>
            <w:r>
              <w:t>Health Surveillance</w:t>
            </w:r>
          </w:p>
        </w:tc>
      </w:tr>
      <w:tr w:rsidR="00917547" w:rsidRPr="009A5868" w14:paraId="17A13CE4" w14:textId="77777777" w:rsidTr="00FB6941">
        <w:trPr>
          <w:cantSplit/>
        </w:trPr>
        <w:tc>
          <w:tcPr>
            <w:tcW w:w="534" w:type="dxa"/>
          </w:tcPr>
          <w:p w14:paraId="3F885F51" w14:textId="77777777" w:rsidR="00917547" w:rsidRPr="009A5868" w:rsidRDefault="00917547" w:rsidP="000A2052">
            <w:pPr>
              <w:pStyle w:val="BMSBodyText"/>
              <w:numPr>
                <w:ilvl w:val="1"/>
                <w:numId w:val="9"/>
              </w:numPr>
              <w:ind w:left="142"/>
            </w:pPr>
          </w:p>
        </w:tc>
        <w:tc>
          <w:tcPr>
            <w:tcW w:w="10064" w:type="dxa"/>
          </w:tcPr>
          <w:p w14:paraId="6DBD70E7" w14:textId="5215D9F0" w:rsidR="00917547" w:rsidRPr="000802A9" w:rsidRDefault="00917547" w:rsidP="000A2052">
            <w:pPr>
              <w:pStyle w:val="BMSBodyText"/>
            </w:pPr>
            <w:r>
              <w:t>Where COSHH Assessments identify the need for health surveillance, employees will be informed and arrangements made to provide the necessary surveillance in accordance with the Occupational Health Surveillance</w:t>
            </w:r>
            <w:r w:rsidR="003D30FB">
              <w:t>-Assessment</w:t>
            </w:r>
            <w:r>
              <w:t xml:space="preserve"> procedure (</w:t>
            </w:r>
            <w:hyperlink r:id="rId26" w:history="1">
              <w:r w:rsidRPr="00F147BC">
                <w:rPr>
                  <w:rStyle w:val="Hyperlink"/>
                </w:rPr>
                <w:t>HSF-PR-0035</w:t>
              </w:r>
            </w:hyperlink>
            <w:r>
              <w:t>)</w:t>
            </w:r>
            <w:r w:rsidR="00235F12">
              <w:t>.</w:t>
            </w:r>
          </w:p>
        </w:tc>
      </w:tr>
      <w:tr w:rsidR="00917547" w:rsidRPr="009A5868" w14:paraId="209F5576" w14:textId="77777777" w:rsidTr="00FB6941">
        <w:trPr>
          <w:cantSplit/>
        </w:trPr>
        <w:tc>
          <w:tcPr>
            <w:tcW w:w="534" w:type="dxa"/>
          </w:tcPr>
          <w:p w14:paraId="1FA9AAC1" w14:textId="77777777" w:rsidR="00917547" w:rsidRPr="009A5868" w:rsidRDefault="00917547" w:rsidP="000A2052">
            <w:pPr>
              <w:pStyle w:val="BMSBodyText"/>
              <w:numPr>
                <w:ilvl w:val="1"/>
                <w:numId w:val="9"/>
              </w:numPr>
              <w:ind w:left="142"/>
            </w:pPr>
          </w:p>
        </w:tc>
        <w:tc>
          <w:tcPr>
            <w:tcW w:w="10064" w:type="dxa"/>
          </w:tcPr>
          <w:p w14:paraId="4B08833B" w14:textId="177EDCCD" w:rsidR="00917547" w:rsidRDefault="00917547" w:rsidP="000A2052">
            <w:pPr>
              <w:pStyle w:val="BMSBodyText"/>
            </w:pPr>
            <w:r>
              <w:t>Where COSHH Assessments identify the need for health surveillance in sub contract employees, the subcontract employer must demonstrate that their employees are certified fit for work in accordance with the requirements of the Occupational Health Surveillance</w:t>
            </w:r>
            <w:r w:rsidR="00D2669E">
              <w:t>-Assessment</w:t>
            </w:r>
            <w:r>
              <w:t xml:space="preserve"> procedure (</w:t>
            </w:r>
            <w:hyperlink r:id="rId27" w:history="1">
              <w:r w:rsidRPr="00A427C2">
                <w:rPr>
                  <w:rStyle w:val="Hyperlink"/>
                </w:rPr>
                <w:t>HSF-PR-0035</w:t>
              </w:r>
            </w:hyperlink>
            <w:r>
              <w:t>).</w:t>
            </w:r>
          </w:p>
        </w:tc>
      </w:tr>
    </w:tbl>
    <w:p w14:paraId="1B9E6058" w14:textId="77777777" w:rsidR="00917547" w:rsidRDefault="00917547" w:rsidP="00917547">
      <w:pPr>
        <w:spacing w:before="60" w:after="60" w:line="240" w:lineRule="auto"/>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8789"/>
      </w:tblGrid>
      <w:tr w:rsidR="00917547" w:rsidRPr="009A5868" w14:paraId="07E978A8" w14:textId="77777777" w:rsidTr="000A2052">
        <w:trPr>
          <w:cantSplit/>
          <w:tblHeader/>
        </w:trPr>
        <w:tc>
          <w:tcPr>
            <w:tcW w:w="10598" w:type="dxa"/>
            <w:gridSpan w:val="2"/>
            <w:tcBorders>
              <w:bottom w:val="single" w:sz="4" w:space="0" w:color="BFBFBF" w:themeColor="background1" w:themeShade="BF"/>
            </w:tcBorders>
          </w:tcPr>
          <w:p w14:paraId="25E2C698" w14:textId="77777777" w:rsidR="00917547" w:rsidRPr="009A5868" w:rsidRDefault="00917547" w:rsidP="000A2052">
            <w:pPr>
              <w:pStyle w:val="BMSMainHeading"/>
              <w:keepNext/>
            </w:pPr>
            <w:r w:rsidRPr="009A5868">
              <w:t>Abbreviations</w:t>
            </w:r>
            <w:r>
              <w:t xml:space="preserve"> </w:t>
            </w:r>
            <w:r w:rsidRPr="009A5868">
              <w:t>/ Definitions</w:t>
            </w:r>
          </w:p>
        </w:tc>
      </w:tr>
      <w:tr w:rsidR="00917547" w:rsidRPr="009A5868" w14:paraId="38BC1244"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C68ACB" w14:textId="77777777" w:rsidR="00917547" w:rsidRPr="005B4054" w:rsidRDefault="00917547" w:rsidP="000A2052">
            <w:pPr>
              <w:pStyle w:val="BMSBodyText"/>
              <w:rPr>
                <w:b/>
              </w:rPr>
            </w:pPr>
            <w:r w:rsidRPr="005B4054">
              <w:rPr>
                <w:rFonts w:cstheme="minorHAnsi"/>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C74558" w14:textId="6A81EBD5" w:rsidR="00917547" w:rsidRDefault="002A02DA" w:rsidP="002A02DA">
            <w:pPr>
              <w:pStyle w:val="BMSBodyText"/>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917547" w:rsidRPr="009A5868" w14:paraId="3B6CC287"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15979E" w14:textId="77777777" w:rsidR="00917547" w:rsidRPr="006D3E21" w:rsidRDefault="00917547" w:rsidP="000A2052">
            <w:pPr>
              <w:pStyle w:val="BMSBodyText"/>
              <w:rPr>
                <w:b/>
              </w:rPr>
            </w:pPr>
            <w:r>
              <w:rPr>
                <w:b/>
              </w:rPr>
              <w:t>COSHH</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6644DE" w14:textId="77777777" w:rsidR="00917547" w:rsidRPr="009A5868" w:rsidRDefault="00917547" w:rsidP="000A2052">
            <w:pPr>
              <w:pStyle w:val="BMSBodyText"/>
            </w:pPr>
            <w:r>
              <w:t>Control of Substances Hazardous to Health</w:t>
            </w:r>
          </w:p>
        </w:tc>
      </w:tr>
      <w:tr w:rsidR="00917547" w:rsidRPr="009A5868" w14:paraId="1E4744DB"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6F92A1" w14:textId="77777777" w:rsidR="00917547" w:rsidRPr="006D3E21" w:rsidRDefault="00917547" w:rsidP="000A2052">
            <w:pPr>
              <w:pStyle w:val="BMSBodyText"/>
              <w:rPr>
                <w:b/>
              </w:rPr>
            </w:pPr>
            <w:r>
              <w:rPr>
                <w:b/>
              </w:rPr>
              <w:lastRenderedPageBreak/>
              <w:t>HAZARDOUS SUBSTANCES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58FF4F" w14:textId="77777777" w:rsidR="00917547" w:rsidRPr="009A5868" w:rsidRDefault="00917547" w:rsidP="000A2052">
            <w:pPr>
              <w:pStyle w:val="BMSBodyText"/>
            </w:pPr>
            <w:r>
              <w:t>Any substance with the potential to cause harm to health, or pose a danger to the environment.</w:t>
            </w:r>
          </w:p>
        </w:tc>
      </w:tr>
      <w:tr w:rsidR="00917547" w:rsidRPr="009A5868" w14:paraId="7326458D"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294027" w14:textId="77777777" w:rsidR="00917547" w:rsidRDefault="00917547" w:rsidP="000A2052">
            <w:pPr>
              <w:pStyle w:val="BMSBodyText"/>
              <w:rPr>
                <w:b/>
              </w:rPr>
            </w:pPr>
            <w:r>
              <w:rPr>
                <w:b/>
              </w:rPr>
              <w:t>ALCUMUS SYPOL CMS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8EF3A7" w14:textId="305A1683" w:rsidR="00917547" w:rsidRDefault="00917547" w:rsidP="00F147BC">
            <w:pPr>
              <w:pStyle w:val="BMSBodyText"/>
            </w:pPr>
            <w:r>
              <w:t xml:space="preserve">A web based package which can assist in the assessment process, especially when using unfamiliar or novel supplied products.  The system provides hazard information and generic controls, and should only be used by trained personnel. Outcomes should be checked to ensure that specified controls are relevant to the task in hand and align with established guidance and in-house procedures. </w:t>
            </w:r>
          </w:p>
        </w:tc>
      </w:tr>
      <w:tr w:rsidR="00917547" w:rsidRPr="009A5868" w14:paraId="377C1252"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47240B" w14:textId="77777777" w:rsidR="00917547" w:rsidRDefault="00917547" w:rsidP="000A2052">
            <w:pPr>
              <w:pStyle w:val="BMSBodyText"/>
              <w:rPr>
                <w:b/>
              </w:rPr>
            </w:pPr>
            <w:r>
              <w:rPr>
                <w:b/>
              </w:rPr>
              <w:t>MSDS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3E6A2D" w14:textId="77777777" w:rsidR="00917547" w:rsidRDefault="00917547" w:rsidP="000A2052">
            <w:pPr>
              <w:pStyle w:val="BMSBodyText"/>
            </w:pPr>
            <w:r>
              <w:t>Material Safety Data Sheet</w:t>
            </w:r>
          </w:p>
        </w:tc>
      </w:tr>
      <w:tr w:rsidR="00917547" w:rsidRPr="009A5868" w14:paraId="5B52593F" w14:textId="77777777" w:rsidTr="000A2052">
        <w:trPr>
          <w:cantSplit/>
        </w:trPr>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D7A2B1" w14:textId="77777777" w:rsidR="00917547" w:rsidRDefault="00917547" w:rsidP="000A2052">
            <w:pPr>
              <w:pStyle w:val="BMSBodyText"/>
              <w:rPr>
                <w:b/>
              </w:rPr>
            </w:pPr>
            <w:r>
              <w:rPr>
                <w:b/>
              </w:rPr>
              <w:t>SHH</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891E0B" w14:textId="77777777" w:rsidR="00917547" w:rsidRDefault="00917547" w:rsidP="000A2052">
            <w:pPr>
              <w:pStyle w:val="BMSBodyText"/>
            </w:pPr>
            <w:r>
              <w:t>Substances Hazardous to Health</w:t>
            </w:r>
          </w:p>
        </w:tc>
      </w:tr>
      <w:tr w:rsidR="006D6E24" w14:paraId="476BE524" w14:textId="77777777" w:rsidTr="006D6E24">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DD6066" w14:textId="77777777" w:rsidR="006D6E24" w:rsidRDefault="006D6E24">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C7FE19" w14:textId="77777777" w:rsidR="006D6E24" w:rsidRDefault="006D6E24">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917547" w:rsidRPr="009A5868" w14:paraId="4BA5C6B7" w14:textId="77777777" w:rsidTr="000A2052">
        <w:tc>
          <w:tcPr>
            <w:tcW w:w="18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36AA25" w14:textId="77777777" w:rsidR="00917547" w:rsidRDefault="00917547" w:rsidP="000A2052">
            <w:pPr>
              <w:pStyle w:val="BMSBodyText"/>
              <w:rPr>
                <w:b/>
              </w:rPr>
            </w:pPr>
            <w:r w:rsidRPr="0085367E">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2A0244" w14:textId="77777777" w:rsidR="00917547" w:rsidRDefault="00917547" w:rsidP="000A2052">
            <w:pPr>
              <w:pStyle w:val="BMSBodyText"/>
            </w:pPr>
            <w:r>
              <w:rPr>
                <w:color w:val="FF0000"/>
                <w:lang w:val="en-US" w:eastAsia="zh-CN"/>
              </w:rPr>
              <w:t>Not yet available, use current BMS for relevant document</w:t>
            </w:r>
          </w:p>
        </w:tc>
      </w:tr>
    </w:tbl>
    <w:p w14:paraId="31C541EC" w14:textId="77777777" w:rsidR="00917547" w:rsidRPr="008E69D7" w:rsidRDefault="00917547" w:rsidP="00917547">
      <w:pPr>
        <w:pStyle w:val="BMSBodyText"/>
        <w:rPr>
          <w:sz w:val="12"/>
          <w:szCs w:val="12"/>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917547" w:rsidRPr="009A5868" w14:paraId="5366AE59" w14:textId="77777777" w:rsidTr="000A2052">
        <w:tc>
          <w:tcPr>
            <w:tcW w:w="10598" w:type="dxa"/>
            <w:gridSpan w:val="3"/>
            <w:tcBorders>
              <w:bottom w:val="single" w:sz="4" w:space="0" w:color="BFBFBF" w:themeColor="background1" w:themeShade="BF"/>
            </w:tcBorders>
          </w:tcPr>
          <w:p w14:paraId="777EB806" w14:textId="77777777" w:rsidR="00917547" w:rsidRPr="009A5868" w:rsidRDefault="00917547" w:rsidP="000A2052">
            <w:pPr>
              <w:pStyle w:val="BMSMainHeading"/>
            </w:pPr>
            <w:r w:rsidRPr="009A5868">
              <w:t>INPUTS</w:t>
            </w:r>
          </w:p>
        </w:tc>
      </w:tr>
      <w:tr w:rsidR="00917547" w:rsidRPr="006D3E21" w14:paraId="33E77205" w14:textId="77777777" w:rsidTr="000A205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3B6307" w14:textId="77777777" w:rsidR="00917547" w:rsidRPr="006D3E21" w:rsidRDefault="00917547" w:rsidP="000A2052">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52BD16" w14:textId="77777777" w:rsidR="00917547" w:rsidRPr="006D3E21" w:rsidRDefault="00917547" w:rsidP="000A2052">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2CE203" w14:textId="77777777" w:rsidR="00917547" w:rsidRPr="006D3E21" w:rsidRDefault="00917547" w:rsidP="000A2052">
            <w:pPr>
              <w:pStyle w:val="BMSBodyText"/>
              <w:rPr>
                <w:b/>
              </w:rPr>
            </w:pPr>
            <w:r w:rsidRPr="006D3E21">
              <w:rPr>
                <w:b/>
              </w:rPr>
              <w:t>Title</w:t>
            </w:r>
          </w:p>
        </w:tc>
      </w:tr>
      <w:tr w:rsidR="00917547" w:rsidRPr="009A5868" w14:paraId="17B1EBD2" w14:textId="77777777" w:rsidTr="000A205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0DF711" w14:textId="77777777" w:rsidR="00917547" w:rsidRPr="009A5868" w:rsidRDefault="00917547" w:rsidP="000A2052">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CC2B6F" w14:textId="01BED045" w:rsidR="00917547" w:rsidRPr="009A5868" w:rsidRDefault="004E33B6" w:rsidP="000A2052">
            <w:pPr>
              <w:pStyle w:val="BMSBodyText"/>
            </w:pPr>
            <w:hyperlink r:id="rId28" w:history="1">
              <w:r w:rsidR="00917547" w:rsidRPr="00F147BC">
                <w:rPr>
                  <w:rStyle w:val="Hyperlink"/>
                </w:rPr>
                <w:t>Legislation</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AAF625" w14:textId="2AD4C641" w:rsidR="00917547" w:rsidRPr="00E1209C" w:rsidRDefault="00917547" w:rsidP="000A2052">
            <w:pPr>
              <w:pStyle w:val="BMSBodyText"/>
            </w:pPr>
            <w:r>
              <w:t xml:space="preserve">Classification, Labelling and Packaging of Substances and mixtures </w:t>
            </w:r>
            <w:r w:rsidRPr="00F147BC">
              <w:t>Regulations</w:t>
            </w:r>
            <w:r>
              <w:t xml:space="preserve"> (CLP)</w:t>
            </w:r>
          </w:p>
        </w:tc>
      </w:tr>
      <w:tr w:rsidR="00917547" w:rsidRPr="009A5868" w14:paraId="4CEDD71B" w14:textId="77777777" w:rsidTr="000A205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B08CDD" w14:textId="77777777" w:rsidR="00917547" w:rsidRPr="009A5868" w:rsidRDefault="00917547" w:rsidP="000A2052">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18CF41" w14:textId="564D3E1B" w:rsidR="00917547" w:rsidRPr="009A5868" w:rsidRDefault="004E33B6" w:rsidP="000A2052">
            <w:pPr>
              <w:pStyle w:val="BMSBodyText"/>
            </w:pPr>
            <w:hyperlink r:id="rId29" w:history="1">
              <w:r w:rsidR="00917547" w:rsidRPr="00F147BC">
                <w:rPr>
                  <w:rStyle w:val="Hyperlink"/>
                </w:rPr>
                <w:t>Legislation</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D3C9B3" w14:textId="4B18C6C9" w:rsidR="00917547" w:rsidRPr="009A5868" w:rsidRDefault="00917547" w:rsidP="000A2052">
            <w:pPr>
              <w:pStyle w:val="BMSBodyText"/>
            </w:pPr>
            <w:r>
              <w:t xml:space="preserve">Control of Substances Hazardous to Health </w:t>
            </w:r>
            <w:r w:rsidRPr="00F147BC">
              <w:t>Regulations</w:t>
            </w:r>
          </w:p>
        </w:tc>
      </w:tr>
      <w:tr w:rsidR="00917547" w:rsidRPr="009A5868" w14:paraId="62231290"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748C07" w14:textId="77777777" w:rsidR="00917547" w:rsidRPr="009A5868" w:rsidRDefault="00917547" w:rsidP="000A2052">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2CD3B2" w14:textId="624A4C8D" w:rsidR="00917547" w:rsidRPr="009A5868" w:rsidRDefault="004E33B6" w:rsidP="000A2052">
            <w:pPr>
              <w:pStyle w:val="BMSBodyText"/>
            </w:pPr>
            <w:hyperlink r:id="rId30" w:history="1">
              <w:r w:rsidR="00917547" w:rsidRPr="00F147BC">
                <w:rPr>
                  <w:rStyle w:val="Hyperlink"/>
                </w:rPr>
                <w:t>Web Based Database</w:t>
              </w:r>
            </w:hyperlink>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C1FD66" w14:textId="7E61E916" w:rsidR="00917547" w:rsidRPr="009A5868" w:rsidRDefault="00917547" w:rsidP="000A2052">
            <w:pPr>
              <w:pStyle w:val="BMSBodyText"/>
            </w:pPr>
            <w:proofErr w:type="spellStart"/>
            <w:r w:rsidRPr="00F147BC">
              <w:t>Alcumus</w:t>
            </w:r>
            <w:proofErr w:type="spellEnd"/>
            <w:r w:rsidRPr="00F147BC">
              <w:t xml:space="preserve"> </w:t>
            </w:r>
            <w:proofErr w:type="spellStart"/>
            <w:r w:rsidRPr="00F147BC">
              <w:t>Sypol</w:t>
            </w:r>
            <w:proofErr w:type="spellEnd"/>
            <w:r w:rsidRPr="00F147BC">
              <w:t xml:space="preserve"> CMS</w:t>
            </w:r>
          </w:p>
        </w:tc>
      </w:tr>
      <w:tr w:rsidR="00D2669E" w:rsidRPr="009A5868" w14:paraId="39CF3671"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5ECC94" w14:textId="06A47A98" w:rsidR="00D2669E" w:rsidRPr="00D2669E" w:rsidRDefault="004E33B6" w:rsidP="000A2052">
            <w:pPr>
              <w:pStyle w:val="BMSBodyText"/>
              <w:rPr>
                <w:color w:val="FF0000"/>
              </w:rPr>
            </w:pPr>
            <w:hyperlink r:id="rId31" w:history="1">
              <w:r w:rsidR="00D2669E" w:rsidRPr="00F147BC">
                <w:rPr>
                  <w:rStyle w:val="Hyperlink"/>
                </w:rPr>
                <w:t>HSF-PR-0035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DB149F" w14:textId="201211ED" w:rsidR="00D2669E" w:rsidRPr="003D30FB" w:rsidRDefault="00D2669E" w:rsidP="000A2052">
            <w:pPr>
              <w:pStyle w:val="BMSBodyText"/>
            </w:pPr>
            <w:r w:rsidRPr="003D30FB">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B2DCD9" w14:textId="4A395E8C" w:rsidR="00D2669E" w:rsidRPr="00D2669E" w:rsidRDefault="00D2669E" w:rsidP="00D2669E">
            <w:pPr>
              <w:pStyle w:val="BMSBodyText"/>
              <w:rPr>
                <w:color w:val="FF0000"/>
              </w:rPr>
            </w:pPr>
            <w:r>
              <w:t xml:space="preserve">Occupational Health Surveillance-Assessment </w:t>
            </w:r>
          </w:p>
        </w:tc>
      </w:tr>
      <w:tr w:rsidR="00917547" w:rsidRPr="009A5868" w14:paraId="0DC50793"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8BF65A" w14:textId="542D6E7D" w:rsidR="00917547" w:rsidRPr="00372954" w:rsidRDefault="004E33B6" w:rsidP="000A2052">
            <w:pPr>
              <w:pStyle w:val="BMSBodyText"/>
            </w:pPr>
            <w:hyperlink r:id="rId32" w:history="1">
              <w:r w:rsidR="00917547" w:rsidRPr="00372954">
                <w:rPr>
                  <w:rStyle w:val="Hyperlink"/>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76C4F1" w14:textId="77777777" w:rsidR="00917547" w:rsidRPr="00372954" w:rsidRDefault="00917547" w:rsidP="000A2052">
            <w:pPr>
              <w:pStyle w:val="BMSBodyText"/>
            </w:pPr>
            <w:r w:rsidRPr="00372954">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6E411E" w14:textId="77777777" w:rsidR="00917547" w:rsidRPr="00372954" w:rsidRDefault="00917547" w:rsidP="000A2052">
            <w:pPr>
              <w:pStyle w:val="BMSBodyText"/>
            </w:pPr>
            <w:r w:rsidRPr="00372954">
              <w:t>Personal Protective Equipment (PPE)</w:t>
            </w:r>
          </w:p>
        </w:tc>
      </w:tr>
      <w:tr w:rsidR="00341B68" w:rsidRPr="009A5868" w14:paraId="5250AA3E"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293C75" w14:textId="424E88CF" w:rsidR="00341B68" w:rsidRDefault="004E33B6" w:rsidP="00341B68">
            <w:pPr>
              <w:pStyle w:val="BMSBodyText"/>
            </w:pPr>
            <w:hyperlink r:id="rId33" w:history="1">
              <w:r w:rsidR="00341B68" w:rsidRPr="006317F7">
                <w:rPr>
                  <w:rFonts w:eastAsiaTheme="minorEastAsia" w:cstheme="minorBidi"/>
                  <w:color w:val="0000FF"/>
                  <w:u w:val="single"/>
                  <w:lang w:val="en-US" w:eastAsia="zh-CN"/>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013E9B" w14:textId="59E34743" w:rsidR="00341B68" w:rsidRDefault="00341B68" w:rsidP="000A2052">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CB7B95" w14:textId="36405F68" w:rsidR="00341B68" w:rsidRDefault="00341B68" w:rsidP="000A2052">
            <w:pPr>
              <w:pStyle w:val="BMSBodyText"/>
            </w:pPr>
            <w:r w:rsidRPr="006317F7">
              <w:rPr>
                <w:rFonts w:eastAsiaTheme="minorEastAsia" w:cstheme="minorBidi"/>
                <w:lang w:val="en-US" w:eastAsia="zh-CN"/>
              </w:rPr>
              <w:t>Control of HSES Derogation</w:t>
            </w:r>
          </w:p>
        </w:tc>
      </w:tr>
      <w:tr w:rsidR="00917547" w:rsidRPr="009A5868" w14:paraId="14A832D3"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C0468D" w14:textId="4316FDB5" w:rsidR="00917547" w:rsidRDefault="004E33B6" w:rsidP="000A2052">
            <w:pPr>
              <w:pStyle w:val="BMSBodyText"/>
            </w:pPr>
            <w:hyperlink r:id="rId34" w:history="1">
              <w:r w:rsidR="00917547" w:rsidRPr="00B31273">
                <w:rPr>
                  <w:rStyle w:val="Hyperlink"/>
                </w:rPr>
                <w:t>HSF-TB-0021a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5F7940" w14:textId="77777777" w:rsidR="00917547" w:rsidRDefault="00917547" w:rsidP="000A2052">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BB408C" w14:textId="77777777" w:rsidR="00917547" w:rsidRDefault="00917547" w:rsidP="000A2052">
            <w:pPr>
              <w:pStyle w:val="BMSBodyText"/>
            </w:pPr>
            <w:r>
              <w:t>Introduction to COSHH</w:t>
            </w:r>
          </w:p>
        </w:tc>
      </w:tr>
      <w:tr w:rsidR="00917547" w:rsidRPr="009A5868" w14:paraId="419FBC60"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B274CA" w14:textId="67A76D56" w:rsidR="00917547" w:rsidRDefault="004E33B6" w:rsidP="000A2052">
            <w:pPr>
              <w:pStyle w:val="BMSBodyText"/>
            </w:pPr>
            <w:hyperlink r:id="rId35" w:history="1">
              <w:r w:rsidR="00917547" w:rsidRPr="005964B3">
                <w:rPr>
                  <w:rStyle w:val="Hyperlink"/>
                </w:rPr>
                <w:t>HSF-TB-0021b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371C56" w14:textId="77777777" w:rsidR="00917547" w:rsidRDefault="00917547" w:rsidP="000A2052">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46D680" w14:textId="77777777" w:rsidR="00917547" w:rsidRDefault="00917547" w:rsidP="000A2052">
            <w:pPr>
              <w:pStyle w:val="BMSBodyText"/>
            </w:pPr>
            <w:r>
              <w:t>CLP-GHS Pictogram Symbols and Hazard Classes</w:t>
            </w:r>
          </w:p>
        </w:tc>
      </w:tr>
      <w:tr w:rsidR="00365C11" w:rsidRPr="009A5868" w14:paraId="62C8D916"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E82E0" w14:textId="2B2B3CC8" w:rsidR="00365C11" w:rsidRDefault="004E33B6" w:rsidP="000A2052">
            <w:pPr>
              <w:pStyle w:val="BMSBodyText"/>
            </w:pPr>
            <w:hyperlink r:id="rId36" w:history="1">
              <w:r w:rsidR="00365C11" w:rsidRPr="00C1182E">
                <w:rPr>
                  <w:rStyle w:val="Hyperlink"/>
                </w:rPr>
                <w:t>HSF-TB-0021c</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DFA1C4" w14:textId="0FF3A175" w:rsidR="00365C11" w:rsidRDefault="00365C11" w:rsidP="000A2052">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4DC69B" w14:textId="15DC9EA1" w:rsidR="00365C11" w:rsidRDefault="00365C11" w:rsidP="000A2052">
            <w:pPr>
              <w:pStyle w:val="BMSBodyText"/>
            </w:pPr>
            <w:r>
              <w:t>Woodworking</w:t>
            </w:r>
          </w:p>
        </w:tc>
      </w:tr>
      <w:tr w:rsidR="002F04A8" w:rsidRPr="009A5868" w14:paraId="35EF3233"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8CFB80" w14:textId="752953F9" w:rsidR="002F04A8" w:rsidRDefault="004E33B6" w:rsidP="000A2052">
            <w:pPr>
              <w:pStyle w:val="BMSBodyText"/>
            </w:pPr>
            <w:hyperlink r:id="rId37" w:history="1">
              <w:r w:rsidR="00FB6941" w:rsidRPr="00FB6941">
                <w:rPr>
                  <w:rStyle w:val="Hyperlink"/>
                </w:rPr>
                <w:t>HSF-RM-0021a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995E4D" w14:textId="28E8F53B" w:rsidR="002F04A8" w:rsidRDefault="00FB6941" w:rsidP="000A2052">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C3931A" w14:textId="7C7C78B2" w:rsidR="002F04A8" w:rsidRDefault="00FB6941" w:rsidP="000A2052">
            <w:pPr>
              <w:pStyle w:val="BMSBodyText"/>
            </w:pPr>
            <w:r>
              <w:t>Plant and Fleet Services ONLY – How to Request a New Sypol Assessment</w:t>
            </w:r>
          </w:p>
        </w:tc>
      </w:tr>
      <w:tr w:rsidR="00D13F29" w:rsidRPr="009A5868" w14:paraId="35D5880C"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937C67" w14:textId="660C278B" w:rsidR="00D13F29" w:rsidRDefault="004E33B6" w:rsidP="000A2052">
            <w:pPr>
              <w:pStyle w:val="BMSBodyText"/>
            </w:pPr>
            <w:hyperlink r:id="rId38" w:history="1">
              <w:r w:rsidR="00D13F29" w:rsidRPr="00CC32B8">
                <w:rPr>
                  <w:rStyle w:val="Hyperlink"/>
                </w:rPr>
                <w:t>HSF-RM-0021b</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184333" w14:textId="7BB36168" w:rsidR="00D13F29" w:rsidRDefault="00D13F29" w:rsidP="000A2052">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D6D5D0" w14:textId="5C13A027" w:rsidR="00D13F29" w:rsidRDefault="00365C11" w:rsidP="000A2052">
            <w:pPr>
              <w:pStyle w:val="BMSBodyText"/>
            </w:pPr>
            <w:r>
              <w:t>Health Risks of Woodworking Dust</w:t>
            </w:r>
          </w:p>
        </w:tc>
      </w:tr>
      <w:tr w:rsidR="00B73FF2" w:rsidRPr="009A5868" w14:paraId="0FD91BF0" w14:textId="77777777" w:rsidTr="000A2052">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E56B09" w14:textId="543DC96E" w:rsidR="00B73FF2" w:rsidRDefault="004E33B6" w:rsidP="000A2052">
            <w:pPr>
              <w:pStyle w:val="BMSBodyText"/>
            </w:pPr>
            <w:hyperlink r:id="rId39" w:history="1">
              <w:r w:rsidR="00B73FF2" w:rsidRPr="00B73FF2">
                <w:rPr>
                  <w:rStyle w:val="Hyperlink"/>
                </w:rPr>
                <w:t>HSF-PR-0067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480BE5" w14:textId="13D447AD" w:rsidR="00B73FF2" w:rsidRDefault="00B73FF2" w:rsidP="000A2052">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FCF893" w14:textId="51CE6B79" w:rsidR="00B73FF2" w:rsidRDefault="00B73FF2" w:rsidP="000A2052">
            <w:pPr>
              <w:pStyle w:val="BMSBodyText"/>
            </w:pPr>
            <w:r>
              <w:t>Biological Hazards</w:t>
            </w:r>
          </w:p>
        </w:tc>
      </w:tr>
    </w:tbl>
    <w:p w14:paraId="3CEFB4FE" w14:textId="77777777" w:rsidR="00917547" w:rsidRPr="008E69D7" w:rsidRDefault="00917547" w:rsidP="00917547">
      <w:pPr>
        <w:pStyle w:val="BMSBodyText"/>
        <w:rPr>
          <w:sz w:val="12"/>
          <w:szCs w:val="12"/>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843"/>
        <w:gridCol w:w="1843"/>
      </w:tblGrid>
      <w:tr w:rsidR="00917547" w:rsidRPr="009A5868" w14:paraId="259B74C6" w14:textId="77777777" w:rsidTr="000A2052">
        <w:tc>
          <w:tcPr>
            <w:tcW w:w="10598" w:type="dxa"/>
            <w:gridSpan w:val="4"/>
            <w:tcBorders>
              <w:bottom w:val="single" w:sz="4" w:space="0" w:color="BFBFBF" w:themeColor="background1" w:themeShade="BF"/>
            </w:tcBorders>
          </w:tcPr>
          <w:p w14:paraId="52FF4233" w14:textId="77777777" w:rsidR="00917547" w:rsidRPr="009A5868" w:rsidRDefault="00917547" w:rsidP="000A2052">
            <w:pPr>
              <w:pStyle w:val="BMSMainHeading"/>
              <w:rPr>
                <w:b w:val="0"/>
              </w:rPr>
            </w:pPr>
            <w:r w:rsidRPr="009A5868">
              <w:t>OuTPUTS</w:t>
            </w:r>
          </w:p>
        </w:tc>
      </w:tr>
      <w:tr w:rsidR="00917547" w:rsidRPr="006D3E21" w14:paraId="7566E084" w14:textId="77777777" w:rsidTr="000A2052">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DB8607" w14:textId="77777777" w:rsidR="00917547" w:rsidRPr="006D3E21" w:rsidRDefault="00917547" w:rsidP="000A2052">
            <w:pPr>
              <w:pStyle w:val="BMSBodyText"/>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B199EE" w14:textId="77777777" w:rsidR="00917547" w:rsidRPr="006D3E21" w:rsidRDefault="00917547" w:rsidP="000A2052">
            <w:pPr>
              <w:pStyle w:val="BMSBodyText"/>
              <w:rPr>
                <w:b/>
              </w:rPr>
            </w:pPr>
            <w:r w:rsidRPr="006D3E21">
              <w:rPr>
                <w:b/>
              </w:rPr>
              <w:t>Document Title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6AFBB5" w14:textId="77777777" w:rsidR="00917547" w:rsidRPr="006D3E21" w:rsidRDefault="00917547" w:rsidP="000A2052">
            <w:pPr>
              <w:pStyle w:val="BMSBodyText"/>
              <w:rPr>
                <w:b/>
              </w:rPr>
            </w:pPr>
            <w:r w:rsidRPr="006D3E21">
              <w:rPr>
                <w:b/>
              </w:rPr>
              <w:t>Retention Period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703BB" w14:textId="77777777" w:rsidR="00917547" w:rsidRPr="006D3E21" w:rsidRDefault="00917547" w:rsidP="000A2052">
            <w:pPr>
              <w:pStyle w:val="BMSBodyText"/>
              <w:rPr>
                <w:b/>
              </w:rPr>
            </w:pPr>
            <w:r w:rsidRPr="006D3E21">
              <w:rPr>
                <w:b/>
              </w:rPr>
              <w:t>Responsibility</w:t>
            </w:r>
          </w:p>
        </w:tc>
      </w:tr>
      <w:tr w:rsidR="002F04A8" w:rsidRPr="009A5868" w14:paraId="7FF6AB9A" w14:textId="77777777" w:rsidTr="000A205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7D2931" w14:textId="34272675" w:rsidR="002F04A8" w:rsidRDefault="004E33B6" w:rsidP="00D3656C">
            <w:pPr>
              <w:pStyle w:val="BMSBodyText"/>
              <w:jc w:val="both"/>
            </w:pPr>
            <w:hyperlink r:id="rId40" w:history="1">
              <w:r w:rsidR="002F04A8" w:rsidRPr="002F04A8">
                <w:rPr>
                  <w:rStyle w:val="Hyperlink"/>
                </w:rPr>
                <w:t>HSF-SF-0021a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A21C1C" w14:textId="15A42520" w:rsidR="002F04A8" w:rsidRDefault="002F04A8" w:rsidP="000A2052">
            <w:pPr>
              <w:pStyle w:val="BMSBodyText"/>
            </w:pPr>
            <w:r>
              <w:t>COSHH Assessment Request Form (CARQ)</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1D39CF" w14:textId="5312F49F" w:rsidR="002F04A8" w:rsidRDefault="002F04A8" w:rsidP="000A2052">
            <w:pPr>
              <w:pStyle w:val="BMSBodyText"/>
            </w:pPr>
            <w:r>
              <w:t>Project Duration</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3F99A9" w14:textId="193F69A8" w:rsidR="002F04A8" w:rsidRDefault="002F04A8" w:rsidP="000A2052">
            <w:pPr>
              <w:pStyle w:val="BMSBodyText"/>
            </w:pPr>
            <w:r>
              <w:t>Site Lead</w:t>
            </w:r>
          </w:p>
        </w:tc>
      </w:tr>
      <w:tr w:rsidR="00917547" w:rsidRPr="009A5868" w14:paraId="30248360" w14:textId="77777777" w:rsidTr="000A205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C02204" w14:textId="3FB87193" w:rsidR="00917547" w:rsidRPr="009A5868" w:rsidRDefault="004E33B6" w:rsidP="00D3656C">
            <w:pPr>
              <w:pStyle w:val="BMSBodyText"/>
              <w:jc w:val="both"/>
            </w:pPr>
            <w:hyperlink r:id="rId41" w:history="1">
              <w:r w:rsidR="00917547" w:rsidRPr="006868FE">
                <w:rPr>
                  <w:rStyle w:val="Hyperlink"/>
                </w:rPr>
                <w:t>HSF-TF-0021a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E5A2E3" w14:textId="77777777" w:rsidR="00917547" w:rsidRPr="009A5868" w:rsidRDefault="00917547" w:rsidP="000A2052">
            <w:pPr>
              <w:pStyle w:val="BMSBodyText"/>
            </w:pPr>
            <w:r>
              <w:t>COSHH Register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A6911D" w14:textId="77777777" w:rsidR="00917547" w:rsidRPr="009A5868" w:rsidRDefault="00917547" w:rsidP="000A2052">
            <w:pPr>
              <w:pStyle w:val="BMSBodyText"/>
            </w:pPr>
            <w:r>
              <w:t>6/12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19FDA5" w14:textId="77777777" w:rsidR="00917547" w:rsidRPr="009A5868" w:rsidRDefault="00917547" w:rsidP="000A2052">
            <w:pPr>
              <w:pStyle w:val="BMSBodyText"/>
            </w:pPr>
            <w:r>
              <w:t>Site Lead</w:t>
            </w:r>
          </w:p>
        </w:tc>
      </w:tr>
      <w:tr w:rsidR="00917547" w:rsidRPr="009A5868" w14:paraId="3C81112B" w14:textId="77777777" w:rsidTr="000A205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D0CB07" w14:textId="77777777" w:rsidR="00917547" w:rsidRDefault="00917547" w:rsidP="000A2052">
            <w:pPr>
              <w:pStyle w:val="BMSBodyText"/>
            </w:pPr>
            <w:r>
              <w:t>N/A</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097427" w14:textId="77777777" w:rsidR="00917547" w:rsidRDefault="00917547" w:rsidP="000A2052">
            <w:pPr>
              <w:pStyle w:val="BMSBodyText"/>
            </w:pPr>
            <w:r>
              <w:t>Thorough Examination and Test of LEV</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9E73E" w14:textId="77777777" w:rsidR="00917547" w:rsidRDefault="00917547" w:rsidP="000A2052">
            <w:pPr>
              <w:pStyle w:val="BMSBodyText"/>
            </w:pPr>
            <w:r>
              <w:t>5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E8FEBB" w14:textId="77777777" w:rsidR="00917547" w:rsidRDefault="00917547" w:rsidP="000A2052">
            <w:pPr>
              <w:pStyle w:val="BMSBodyText"/>
            </w:pPr>
            <w:r>
              <w:t>Site Lead</w:t>
            </w:r>
          </w:p>
        </w:tc>
      </w:tr>
      <w:tr w:rsidR="002F04A8" w:rsidRPr="009A5868" w14:paraId="0503338A" w14:textId="77777777" w:rsidTr="000A2052">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492CB8" w14:textId="12C2B47A" w:rsidR="002F04A8" w:rsidRDefault="004E33B6" w:rsidP="000A2052">
            <w:pPr>
              <w:pStyle w:val="BMSBodyText"/>
            </w:pPr>
            <w:hyperlink r:id="rId42" w:history="1">
              <w:r w:rsidR="002F04A8" w:rsidRPr="002F04A8">
                <w:rPr>
                  <w:rStyle w:val="Hyperlink"/>
                </w:rPr>
                <w:t>HSF-TF-0021b</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453B0E" w14:textId="75AED46B" w:rsidR="002F04A8" w:rsidRDefault="002F04A8" w:rsidP="000A2052">
            <w:pPr>
              <w:pStyle w:val="BMSBodyText"/>
            </w:pPr>
            <w:r>
              <w:t>LEV Test Record Sheet</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F74201" w14:textId="4F17F279" w:rsidR="002F04A8" w:rsidRDefault="002F04A8" w:rsidP="000A2052">
            <w:pPr>
              <w:pStyle w:val="BMSBodyText"/>
            </w:pPr>
            <w:r>
              <w:t>5 years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AC09DE" w14:textId="64BDF17C" w:rsidR="002F04A8" w:rsidRDefault="002F04A8" w:rsidP="000A2052">
            <w:pPr>
              <w:pStyle w:val="BMSBodyText"/>
            </w:pPr>
            <w:r>
              <w:t>Site Lead</w:t>
            </w:r>
          </w:p>
        </w:tc>
      </w:tr>
    </w:tbl>
    <w:p w14:paraId="6519D96C" w14:textId="018C4967" w:rsidR="00232A84" w:rsidRPr="008E69D7" w:rsidRDefault="00232A84" w:rsidP="00917547">
      <w:pPr>
        <w:rPr>
          <w:sz w:val="12"/>
          <w:szCs w:val="12"/>
        </w:rPr>
      </w:pPr>
    </w:p>
    <w:sectPr w:rsidR="00232A84" w:rsidRPr="008E69D7" w:rsidSect="006D3E21">
      <w:headerReference w:type="even" r:id="rId43"/>
      <w:headerReference w:type="default" r:id="rId44"/>
      <w:footerReference w:type="default" r:id="rId45"/>
      <w:headerReference w:type="first" r:id="rId46"/>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E5D94" w14:textId="77777777" w:rsidR="00F5576F" w:rsidRDefault="00F5576F" w:rsidP="0003527C">
      <w:pPr>
        <w:spacing w:after="0" w:line="240" w:lineRule="auto"/>
      </w:pPr>
      <w:r>
        <w:separator/>
      </w:r>
    </w:p>
  </w:endnote>
  <w:endnote w:type="continuationSeparator" w:id="0">
    <w:p w14:paraId="31BB7F03" w14:textId="77777777" w:rsidR="00F5576F" w:rsidRDefault="00F5576F"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9D2BCA" w:rsidRPr="00170690" w14:paraId="3C3F38A2" w14:textId="77777777" w:rsidTr="00B174AB">
      <w:tc>
        <w:tcPr>
          <w:tcW w:w="2235" w:type="dxa"/>
        </w:tcPr>
        <w:p w14:paraId="597F2F74" w14:textId="77777777" w:rsidR="009D2BCA" w:rsidRPr="00170690" w:rsidRDefault="009D2BCA" w:rsidP="00B174AB">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F4C4C81" w14:textId="57992190" w:rsidR="009D2BCA" w:rsidRPr="00170690" w:rsidRDefault="004E33B6" w:rsidP="00B174AB">
              <w:pPr>
                <w:pStyle w:val="BMSFooterText"/>
                <w:rPr>
                  <w:sz w:val="18"/>
                </w:rPr>
              </w:pPr>
              <w:r>
                <w:rPr>
                  <w:sz w:val="18"/>
                </w:rPr>
                <w:t>Kari Sprostranova</w:t>
              </w:r>
            </w:p>
          </w:tc>
        </w:sdtContent>
      </w:sdt>
      <w:tc>
        <w:tcPr>
          <w:tcW w:w="3866" w:type="dxa"/>
        </w:tcPr>
        <w:p w14:paraId="2D1FE920" w14:textId="77777777" w:rsidR="009D2BCA" w:rsidRPr="00170690" w:rsidRDefault="009D2BCA" w:rsidP="00B174AB">
          <w:pPr>
            <w:pStyle w:val="BMSFooterText"/>
            <w:jc w:val="right"/>
            <w:rPr>
              <w:sz w:val="18"/>
            </w:rPr>
          </w:pPr>
          <w:r w:rsidRPr="00170690">
            <w:rPr>
              <w:sz w:val="18"/>
            </w:rPr>
            <w:t>Uncontrolled when printed or downloaded</w:t>
          </w:r>
        </w:p>
      </w:tc>
    </w:tr>
    <w:tr w:rsidR="009D2BCA" w:rsidRPr="00170690" w14:paraId="55093E78" w14:textId="77777777" w:rsidTr="00B174AB">
      <w:tc>
        <w:tcPr>
          <w:tcW w:w="2235" w:type="dxa"/>
        </w:tcPr>
        <w:p w14:paraId="606C67AE" w14:textId="77777777" w:rsidR="009D2BCA" w:rsidRPr="00170690" w:rsidRDefault="009D2BCA" w:rsidP="00B174AB">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7-01T00:00:00Z">
            <w:dateFormat w:val="dd/MM/yyyy"/>
            <w:lid w:val="en-GB"/>
            <w:storeMappedDataAs w:val="dateTime"/>
            <w:calendar w:val="gregorian"/>
          </w:date>
        </w:sdtPr>
        <w:sdtEndPr/>
        <w:sdtContent>
          <w:tc>
            <w:tcPr>
              <w:tcW w:w="1638" w:type="dxa"/>
            </w:tcPr>
            <w:p w14:paraId="39D26D55" w14:textId="418A2597" w:rsidR="009D2BCA" w:rsidRPr="00170690" w:rsidRDefault="00365C11" w:rsidP="00B174AB">
              <w:pPr>
                <w:pStyle w:val="BMSFooterText"/>
                <w:rPr>
                  <w:sz w:val="18"/>
                </w:rPr>
              </w:pPr>
              <w:r>
                <w:rPr>
                  <w:sz w:val="18"/>
                  <w:lang w:val="en-GB"/>
                </w:rPr>
                <w:t>01/07/2019</w:t>
              </w:r>
            </w:p>
          </w:tc>
        </w:sdtContent>
      </w:sdt>
      <w:tc>
        <w:tcPr>
          <w:tcW w:w="1251" w:type="dxa"/>
        </w:tcPr>
        <w:p w14:paraId="58B917AA" w14:textId="77777777" w:rsidR="009D2BCA" w:rsidRPr="00170690" w:rsidRDefault="009D2BCA" w:rsidP="00B174AB">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365C11">
            <w:rPr>
              <w:noProof/>
              <w:sz w:val="18"/>
            </w:rPr>
            <w:t>5</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365C11">
            <w:rPr>
              <w:noProof/>
              <w:sz w:val="18"/>
            </w:rPr>
            <w:t>5</w:t>
          </w:r>
          <w:r w:rsidRPr="00170690">
            <w:rPr>
              <w:noProof/>
              <w:sz w:val="18"/>
            </w:rPr>
            <w:fldChar w:fldCharType="end"/>
          </w:r>
        </w:p>
      </w:tc>
      <w:tc>
        <w:tcPr>
          <w:tcW w:w="914" w:type="dxa"/>
        </w:tcPr>
        <w:p w14:paraId="4FCDC107" w14:textId="77777777" w:rsidR="009D2BCA" w:rsidRPr="00170690" w:rsidRDefault="009D2BCA" w:rsidP="00B174AB">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23731571" w14:textId="67F5ECDE" w:rsidR="009D2BCA" w:rsidRPr="00170690" w:rsidRDefault="00365C11" w:rsidP="00B174AB">
              <w:pPr>
                <w:pStyle w:val="BMSFooterText"/>
                <w:rPr>
                  <w:sz w:val="18"/>
                </w:rPr>
              </w:pPr>
              <w:r>
                <w:rPr>
                  <w:sz w:val="18"/>
                  <w:lang w:val="en-GB"/>
                </w:rPr>
                <w:t>1.5</w:t>
              </w:r>
            </w:p>
          </w:tc>
        </w:sdtContent>
      </w:sdt>
      <w:tc>
        <w:tcPr>
          <w:tcW w:w="3866" w:type="dxa"/>
        </w:tcPr>
        <w:p w14:paraId="110A591C" w14:textId="77777777" w:rsidR="009D2BCA" w:rsidRPr="00170690" w:rsidRDefault="009D2BCA" w:rsidP="00B174AB">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6519D981" w14:textId="77777777" w:rsidR="0003527C" w:rsidRPr="00232A84" w:rsidRDefault="0003527C"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4306D" w14:textId="77777777" w:rsidR="00F5576F" w:rsidRDefault="00F5576F" w:rsidP="0003527C">
      <w:pPr>
        <w:spacing w:after="0" w:line="240" w:lineRule="auto"/>
      </w:pPr>
      <w:r>
        <w:separator/>
      </w:r>
    </w:p>
  </w:footnote>
  <w:footnote w:type="continuationSeparator" w:id="0">
    <w:p w14:paraId="29C40320" w14:textId="77777777" w:rsidR="00F5576F" w:rsidRDefault="00F5576F"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F0BC" w14:textId="006A22AA" w:rsidR="00E2551F" w:rsidRDefault="004E33B6">
    <w:pPr>
      <w:pStyle w:val="Header"/>
    </w:pPr>
    <w:r>
      <w:rPr>
        <w:noProof/>
        <w:lang w:val="en-GB" w:eastAsia="en-GB"/>
      </w:rPr>
      <w:pict w14:anchorId="02C07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9D2BCA" w14:paraId="04379C8F" w14:textId="77777777" w:rsidTr="00B174AB">
      <w:trPr>
        <w:cantSplit/>
        <w:trHeight w:hRule="exact" w:val="1077"/>
      </w:trPr>
      <w:tc>
        <w:tcPr>
          <w:tcW w:w="2977" w:type="dxa"/>
        </w:tcPr>
        <w:p w14:paraId="20905282" w14:textId="77777777" w:rsidR="009D2BCA" w:rsidRDefault="009D2BCA" w:rsidP="00B174AB">
          <w:r>
            <w:rPr>
              <w:noProof/>
              <w:lang w:val="en-GB" w:eastAsia="en-GB"/>
            </w:rPr>
            <w:drawing>
              <wp:anchor distT="0" distB="0" distL="114300" distR="114300" simplePos="0" relativeHeight="251663360" behindDoc="0" locked="0" layoutInCell="1" allowOverlap="1" wp14:anchorId="647DBF43" wp14:editId="471F58B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6D3000A4CAC5419A800678B5E1AA96BB"/>
            </w:placeholder>
            <w:dataBinding w:prefixMappings="xmlns:ns0='http://purl.org/dc/elements/1.1/' xmlns:ns1='http://schemas.openxmlformats.org/package/2006/metadata/core-properties' " w:xpath="/ns1:coreProperties[1]/ns0:title[1]" w:storeItemID="{6C3C8BC8-F283-45AE-878A-BAB7291924A1}"/>
            <w:text/>
          </w:sdtPr>
          <w:sdtEndPr/>
          <w:sdtContent>
            <w:p w14:paraId="5BBA0789" w14:textId="0E85F530" w:rsidR="009D2BCA" w:rsidRDefault="009D2BCA" w:rsidP="00B174AB">
              <w:pPr>
                <w:pStyle w:val="BMSTitleinHeader"/>
                <w:rPr>
                  <w:kern w:val="0"/>
                  <w:szCs w:val="28"/>
                </w:rPr>
              </w:pPr>
              <w:r>
                <w:rPr>
                  <w:kern w:val="0"/>
                  <w:szCs w:val="28"/>
                </w:rPr>
                <w:t>Control of Substances Hazardous to Health</w:t>
              </w:r>
            </w:p>
          </w:sdtContent>
        </w:sdt>
        <w:p w14:paraId="0AC00976" w14:textId="12E2597C" w:rsidR="009D2BCA" w:rsidRDefault="004E33B6" w:rsidP="00B174AB">
          <w:pPr>
            <w:pStyle w:val="BMSTitleinHeader"/>
          </w:pPr>
          <w:sdt>
            <w:sdtPr>
              <w:rPr>
                <w:kern w:val="0"/>
                <w:szCs w:val="28"/>
              </w:rPr>
              <w:alias w:val="Document Type"/>
              <w:tag w:val="oc3d3a3ff14440768ba3133f25344e09"/>
              <w:id w:val="403650787"/>
              <w:lock w:val="contentLocked"/>
              <w:placeholder>
                <w:docPart w:val="BE16703F5CB24A09BE8FD9FBB1C58AD6"/>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A427C2">
                <w:rPr>
                  <w:kern w:val="0"/>
                  <w:szCs w:val="28"/>
                </w:rPr>
                <w:t>P</w:t>
              </w:r>
              <w:r w:rsidR="009D2BCA">
                <w:rPr>
                  <w:kern w:val="0"/>
                  <w:szCs w:val="28"/>
                </w:rPr>
                <w:t>rocedure</w:t>
              </w:r>
            </w:sdtContent>
          </w:sdt>
          <w:r w:rsidR="009D2BCA">
            <w:rPr>
              <w:kern w:val="0"/>
              <w:szCs w:val="28"/>
            </w:rPr>
            <w:t xml:space="preserve">: </w:t>
          </w:r>
          <w:sdt>
            <w:sdtPr>
              <w:rPr>
                <w:kern w:val="0"/>
                <w:szCs w:val="28"/>
              </w:rPr>
              <w:alias w:val="Document Reference"/>
              <w:tag w:val="Document_x0020_Reference"/>
              <w:id w:val="-842934057"/>
              <w:placeholder>
                <w:docPart w:val="16168A4E81CF4162A5C2A372B66FC709"/>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9D2BCA">
                <w:rPr>
                  <w:kern w:val="0"/>
                  <w:szCs w:val="28"/>
                </w:rPr>
                <w:t>HSF-PR-0021</w:t>
              </w:r>
            </w:sdtContent>
          </w:sdt>
        </w:p>
      </w:tc>
    </w:tr>
  </w:tbl>
  <w:p w14:paraId="6519D975" w14:textId="77777777" w:rsidR="000512D3" w:rsidRPr="00FD6CC3" w:rsidRDefault="000512D3"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3D7F" w14:textId="517A39C5" w:rsidR="00E2551F" w:rsidRDefault="004E33B6">
    <w:pPr>
      <w:pStyle w:val="Header"/>
    </w:pPr>
    <w:r>
      <w:rPr>
        <w:noProof/>
        <w:lang w:val="en-GB" w:eastAsia="en-GB"/>
      </w:rPr>
      <w:pict w14:anchorId="5907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0C3C"/>
    <w:multiLevelType w:val="multilevel"/>
    <w:tmpl w:val="01DC9F16"/>
    <w:lvl w:ilvl="0">
      <w:start w:val="1"/>
      <w:numFmt w:val="bullet"/>
      <w:lvlText w:val=""/>
      <w:lvlJc w:val="left"/>
      <w:pPr>
        <w:ind w:left="360" w:hanging="360"/>
      </w:pPr>
      <w:rPr>
        <w:rFonts w:ascii="Symbol" w:hAnsi="Symbol" w:hint="default"/>
        <w:b/>
      </w:rPr>
    </w:lvl>
    <w:lvl w:ilvl="1">
      <w:start w:val="1"/>
      <w:numFmt w:val="decimal"/>
      <w:lvlText w:val="%1.%2"/>
      <w:lvlJc w:val="left"/>
      <w:pPr>
        <w:ind w:left="426"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21A69"/>
    <w:multiLevelType w:val="hybridMultilevel"/>
    <w:tmpl w:val="EB9C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8E5B70"/>
    <w:multiLevelType w:val="hybridMultilevel"/>
    <w:tmpl w:val="44421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BD201D"/>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426"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F746A"/>
    <w:multiLevelType w:val="multilevel"/>
    <w:tmpl w:val="D9180810"/>
    <w:lvl w:ilvl="0">
      <w:start w:val="1"/>
      <w:numFmt w:val="decimal"/>
      <w:lvlText w:val="%1."/>
      <w:lvlJc w:val="left"/>
      <w:pPr>
        <w:ind w:left="360" w:hanging="360"/>
      </w:pPr>
      <w:rPr>
        <w:rFonts w:hint="default"/>
        <w:b/>
      </w:rPr>
    </w:lvl>
    <w:lvl w:ilvl="1">
      <w:start w:val="1"/>
      <w:numFmt w:val="decimal"/>
      <w:lvlText w:val="%1.%2"/>
      <w:lvlJc w:val="left"/>
      <w:pPr>
        <w:ind w:left="113" w:hanging="113"/>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1DE15E4"/>
    <w:multiLevelType w:val="hybridMultilevel"/>
    <w:tmpl w:val="E79285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9A5238"/>
    <w:multiLevelType w:val="hybridMultilevel"/>
    <w:tmpl w:val="03508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4F7C09F4"/>
    <w:multiLevelType w:val="hybridMultilevel"/>
    <w:tmpl w:val="FA74F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382262"/>
    <w:multiLevelType w:val="hybridMultilevel"/>
    <w:tmpl w:val="6B088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92377A"/>
    <w:multiLevelType w:val="hybridMultilevel"/>
    <w:tmpl w:val="EFC62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291F3E"/>
    <w:multiLevelType w:val="hybridMultilevel"/>
    <w:tmpl w:val="87684C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6A66F2"/>
    <w:multiLevelType w:val="hybridMultilevel"/>
    <w:tmpl w:val="5E764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9"/>
  </w:num>
  <w:num w:numId="3">
    <w:abstractNumId w:val="13"/>
  </w:num>
  <w:num w:numId="4">
    <w:abstractNumId w:val="8"/>
  </w:num>
  <w:num w:numId="5">
    <w:abstractNumId w:val="9"/>
  </w:num>
  <w:num w:numId="6">
    <w:abstractNumId w:val="6"/>
  </w:num>
  <w:num w:numId="7">
    <w:abstractNumId w:val="1"/>
  </w:num>
  <w:num w:numId="8">
    <w:abstractNumId w:val="10"/>
  </w:num>
  <w:num w:numId="9">
    <w:abstractNumId w:val="7"/>
  </w:num>
  <w:num w:numId="10">
    <w:abstractNumId w:val="2"/>
  </w:num>
  <w:num w:numId="11">
    <w:abstractNumId w:val="18"/>
  </w:num>
  <w:num w:numId="12">
    <w:abstractNumId w:val="17"/>
  </w:num>
  <w:num w:numId="13">
    <w:abstractNumId w:val="16"/>
  </w:num>
  <w:num w:numId="14">
    <w:abstractNumId w:val="12"/>
  </w:num>
  <w:num w:numId="15">
    <w:abstractNumId w:val="0"/>
  </w:num>
  <w:num w:numId="16">
    <w:abstractNumId w:val="4"/>
  </w:num>
  <w:num w:numId="17">
    <w:abstractNumId w:val="11"/>
  </w:num>
  <w:num w:numId="18">
    <w:abstractNumId w:val="14"/>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AF"/>
    <w:rsid w:val="0000143B"/>
    <w:rsid w:val="00005B1D"/>
    <w:rsid w:val="00033A96"/>
    <w:rsid w:val="0003527C"/>
    <w:rsid w:val="000424C3"/>
    <w:rsid w:val="000512D3"/>
    <w:rsid w:val="00055DF0"/>
    <w:rsid w:val="00062804"/>
    <w:rsid w:val="000704A5"/>
    <w:rsid w:val="000802A9"/>
    <w:rsid w:val="00093D79"/>
    <w:rsid w:val="000D73D5"/>
    <w:rsid w:val="000F06FC"/>
    <w:rsid w:val="000F24F4"/>
    <w:rsid w:val="00136595"/>
    <w:rsid w:val="00154BDC"/>
    <w:rsid w:val="00170690"/>
    <w:rsid w:val="001733CF"/>
    <w:rsid w:val="001821A4"/>
    <w:rsid w:val="001A67D7"/>
    <w:rsid w:val="00216272"/>
    <w:rsid w:val="0023242F"/>
    <w:rsid w:val="00232A84"/>
    <w:rsid w:val="00235F12"/>
    <w:rsid w:val="00253893"/>
    <w:rsid w:val="002A02DA"/>
    <w:rsid w:val="002F04A8"/>
    <w:rsid w:val="002F51C4"/>
    <w:rsid w:val="00325C33"/>
    <w:rsid w:val="00341B68"/>
    <w:rsid w:val="00365C11"/>
    <w:rsid w:val="00372954"/>
    <w:rsid w:val="003A00BE"/>
    <w:rsid w:val="003D2F24"/>
    <w:rsid w:val="003D30FB"/>
    <w:rsid w:val="003D6E15"/>
    <w:rsid w:val="004771B1"/>
    <w:rsid w:val="004A1DA1"/>
    <w:rsid w:val="004D4E90"/>
    <w:rsid w:val="004E33B6"/>
    <w:rsid w:val="005341DC"/>
    <w:rsid w:val="00536A24"/>
    <w:rsid w:val="00537B7D"/>
    <w:rsid w:val="00565C1E"/>
    <w:rsid w:val="005964B3"/>
    <w:rsid w:val="005B4054"/>
    <w:rsid w:val="00607B50"/>
    <w:rsid w:val="00610A4A"/>
    <w:rsid w:val="00614FAF"/>
    <w:rsid w:val="0063600C"/>
    <w:rsid w:val="00695B37"/>
    <w:rsid w:val="006A24AD"/>
    <w:rsid w:val="006A2894"/>
    <w:rsid w:val="006D3E21"/>
    <w:rsid w:val="006D6E24"/>
    <w:rsid w:val="006F1B10"/>
    <w:rsid w:val="006F2B1B"/>
    <w:rsid w:val="00714B5F"/>
    <w:rsid w:val="00734F3E"/>
    <w:rsid w:val="007555B3"/>
    <w:rsid w:val="00764D14"/>
    <w:rsid w:val="00786AD9"/>
    <w:rsid w:val="007B0440"/>
    <w:rsid w:val="007C43B5"/>
    <w:rsid w:val="007C6955"/>
    <w:rsid w:val="007E05C4"/>
    <w:rsid w:val="007E54B3"/>
    <w:rsid w:val="007E694D"/>
    <w:rsid w:val="007F2E8D"/>
    <w:rsid w:val="00822033"/>
    <w:rsid w:val="008338E4"/>
    <w:rsid w:val="0085367E"/>
    <w:rsid w:val="008819A7"/>
    <w:rsid w:val="008906D7"/>
    <w:rsid w:val="00896AD6"/>
    <w:rsid w:val="008A4897"/>
    <w:rsid w:val="008E44AF"/>
    <w:rsid w:val="008E69D7"/>
    <w:rsid w:val="008E6D8B"/>
    <w:rsid w:val="008E746C"/>
    <w:rsid w:val="008F4A9E"/>
    <w:rsid w:val="00917547"/>
    <w:rsid w:val="0092057B"/>
    <w:rsid w:val="00933F4A"/>
    <w:rsid w:val="0093563B"/>
    <w:rsid w:val="00942DF8"/>
    <w:rsid w:val="00953AD7"/>
    <w:rsid w:val="00987E67"/>
    <w:rsid w:val="009A5868"/>
    <w:rsid w:val="009D2BCA"/>
    <w:rsid w:val="009D3569"/>
    <w:rsid w:val="009D774C"/>
    <w:rsid w:val="00A36D3B"/>
    <w:rsid w:val="00A427C2"/>
    <w:rsid w:val="00A4792E"/>
    <w:rsid w:val="00A56427"/>
    <w:rsid w:val="00A628FA"/>
    <w:rsid w:val="00A659E7"/>
    <w:rsid w:val="00AB1D46"/>
    <w:rsid w:val="00AB2C0E"/>
    <w:rsid w:val="00AD0394"/>
    <w:rsid w:val="00AE1F60"/>
    <w:rsid w:val="00AF5B43"/>
    <w:rsid w:val="00B03B19"/>
    <w:rsid w:val="00B2568F"/>
    <w:rsid w:val="00B25A19"/>
    <w:rsid w:val="00B31273"/>
    <w:rsid w:val="00B617C0"/>
    <w:rsid w:val="00B73695"/>
    <w:rsid w:val="00B73FF2"/>
    <w:rsid w:val="00B767AE"/>
    <w:rsid w:val="00B830DD"/>
    <w:rsid w:val="00BB40BA"/>
    <w:rsid w:val="00BD241A"/>
    <w:rsid w:val="00C01E0C"/>
    <w:rsid w:val="00C23C1C"/>
    <w:rsid w:val="00CA0AB2"/>
    <w:rsid w:val="00CB22B6"/>
    <w:rsid w:val="00CC3E46"/>
    <w:rsid w:val="00CD3200"/>
    <w:rsid w:val="00CF20B2"/>
    <w:rsid w:val="00D13F29"/>
    <w:rsid w:val="00D17419"/>
    <w:rsid w:val="00D22FAA"/>
    <w:rsid w:val="00D232E2"/>
    <w:rsid w:val="00D2669E"/>
    <w:rsid w:val="00D3656C"/>
    <w:rsid w:val="00D369CE"/>
    <w:rsid w:val="00D37D8E"/>
    <w:rsid w:val="00D4781A"/>
    <w:rsid w:val="00D56D81"/>
    <w:rsid w:val="00D57CAB"/>
    <w:rsid w:val="00D94301"/>
    <w:rsid w:val="00DB3CF7"/>
    <w:rsid w:val="00DC0D8B"/>
    <w:rsid w:val="00DD1F7C"/>
    <w:rsid w:val="00DD42C2"/>
    <w:rsid w:val="00E031E2"/>
    <w:rsid w:val="00E1209C"/>
    <w:rsid w:val="00E2551F"/>
    <w:rsid w:val="00E45476"/>
    <w:rsid w:val="00E46FB2"/>
    <w:rsid w:val="00E52B8C"/>
    <w:rsid w:val="00E5491D"/>
    <w:rsid w:val="00EA62B5"/>
    <w:rsid w:val="00ED1980"/>
    <w:rsid w:val="00EE54F5"/>
    <w:rsid w:val="00F108EE"/>
    <w:rsid w:val="00F11000"/>
    <w:rsid w:val="00F147BC"/>
    <w:rsid w:val="00F27B94"/>
    <w:rsid w:val="00F3462B"/>
    <w:rsid w:val="00F47DC2"/>
    <w:rsid w:val="00F5576F"/>
    <w:rsid w:val="00F64B17"/>
    <w:rsid w:val="00FA7BD4"/>
    <w:rsid w:val="00FB2972"/>
    <w:rsid w:val="00FB6941"/>
    <w:rsid w:val="00FB7D24"/>
    <w:rsid w:val="00FD6CC3"/>
    <w:rsid w:val="00FE292E"/>
    <w:rsid w:val="00FE5C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19D90F"/>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E1209C"/>
    <w:rPr>
      <w:color w:val="0000FF" w:themeColor="hyperlink"/>
      <w:u w:val="single"/>
    </w:rPr>
  </w:style>
  <w:style w:type="paragraph" w:customStyle="1" w:styleId="Default">
    <w:name w:val="Default"/>
    <w:rsid w:val="00DD1F7C"/>
    <w:pPr>
      <w:autoSpaceDE w:val="0"/>
      <w:autoSpaceDN w:val="0"/>
      <w:adjustRightInd w:val="0"/>
      <w:spacing w:after="0" w:line="240" w:lineRule="auto"/>
    </w:pPr>
    <w:rPr>
      <w:rFonts w:ascii="Helvetica 45 Light" w:eastAsiaTheme="minorHAnsi" w:hAnsi="Helvetica 45 Light" w:cs="Helvetica 45 Light"/>
      <w:color w:val="000000"/>
      <w:sz w:val="24"/>
      <w:szCs w:val="24"/>
      <w:lang w:val="en-GB" w:eastAsia="en-US"/>
    </w:rPr>
  </w:style>
  <w:style w:type="character" w:styleId="FollowedHyperlink">
    <w:name w:val="FollowedHyperlink"/>
    <w:basedOn w:val="DefaultParagraphFont"/>
    <w:uiPriority w:val="99"/>
    <w:semiHidden/>
    <w:unhideWhenUsed/>
    <w:rsid w:val="00FE5C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609549">
      <w:bodyDiv w:val="1"/>
      <w:marLeft w:val="0"/>
      <w:marRight w:val="0"/>
      <w:marTop w:val="0"/>
      <w:marBottom w:val="0"/>
      <w:divBdr>
        <w:top w:val="none" w:sz="0" w:space="0" w:color="auto"/>
        <w:left w:val="none" w:sz="0" w:space="0" w:color="auto"/>
        <w:bottom w:val="none" w:sz="0" w:space="0" w:color="auto"/>
        <w:right w:val="none" w:sz="0" w:space="0" w:color="auto"/>
      </w:divBdr>
    </w:div>
    <w:div w:id="82373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1120" TargetMode="External"/><Relationship Id="rId18" Type="http://schemas.openxmlformats.org/officeDocument/2006/relationships/hyperlink" Target="https://home360.balfourbeatty.com/ghoreferencecentre/Group%20BMS/_layouts/DocIdRedir.aspx?ID=2KHUWT73P6SE-1572-1261" TargetMode="External"/><Relationship Id="rId26" Type="http://schemas.openxmlformats.org/officeDocument/2006/relationships/hyperlink" Target="https://home360.balfourbeatty.com/ghoreferencecentre/Group%20BMS/_layouts/DocIdRedir.aspx?ID=2KHUWT73P6SE-1572-1734" TargetMode="External"/><Relationship Id="rId39" Type="http://schemas.openxmlformats.org/officeDocument/2006/relationships/hyperlink" Target="https://home360.balfourbeatty.com/ghoreferencecentre/Group%20BMS/_layouts/DocIdRedir.aspx?ID=2KHUWT73P6SE-1572-6989" TargetMode="Externa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083" TargetMode="External"/><Relationship Id="rId34" Type="http://schemas.openxmlformats.org/officeDocument/2006/relationships/hyperlink" Target="https://home360.balfourbeatty.com/ghoreferencecentre/Group%20BMS/_layouts/DocIdRedir.aspx?ID=2KHUWT73P6SE-1572-1261" TargetMode="External"/><Relationship Id="rId42" Type="http://schemas.openxmlformats.org/officeDocument/2006/relationships/hyperlink" Target="https://home360.balfourbeatty.com/ghoreferencecentre/Group%20BMS/_layouts/DocIdRedir.aspx?ID=2KHUWT73P6SE-1572-9024"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home360.balfourbeatty.com/ghoreferencecentre/Group%20BMS/BMS%20Documents/HSES/Health%20and%20Safety/Procedures/HSES-PR-0004%20Control%20of%20HSES%20Derogation.docx" TargetMode="External"/><Relationship Id="rId17" Type="http://schemas.openxmlformats.org/officeDocument/2006/relationships/hyperlink" Target="https://home360.balfourbeatty.com/ghoreferencecentre/Group%20BMS/_layouts/DocIdRedir.aspx?ID=2KHUWT73P6SE-1572-9025" TargetMode="External"/><Relationship Id="rId25" Type="http://schemas.openxmlformats.org/officeDocument/2006/relationships/hyperlink" Target="https://home360.balfourbeatty.com/UKHealthandSafety/occupational_health/Pages/Occupational-Hygiene.aspx" TargetMode="External"/><Relationship Id="rId33" Type="http://schemas.openxmlformats.org/officeDocument/2006/relationships/hyperlink" Target="https://home360.balfourbeatty.com/ghoreferencecentre/Group%20BMS/BMS%20Documents/HSES/Health%20and%20Safety/Procedures/HSES-PR-0004%20Control%20of%20HSES%20Derogation.docx" TargetMode="External"/><Relationship Id="rId38" Type="http://schemas.openxmlformats.org/officeDocument/2006/relationships/hyperlink" Target="https://home360.balfourbeatty.com/ghoreferencecentre/Group%20BMS/_layouts/DocIdRedir.aspx?ID=2KHUWT73P6SE-1572-14599"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9023" TargetMode="External"/><Relationship Id="rId20" Type="http://schemas.openxmlformats.org/officeDocument/2006/relationships/hyperlink" Target="https://home360.balfourbeatty.com/ghoreferencecentre/Group%20BMS/_layouts/DocIdRedir.aspx?ID=2KHUWT73P6SE-1572-8083" TargetMode="External"/><Relationship Id="rId29" Type="http://schemas.openxmlformats.org/officeDocument/2006/relationships/hyperlink" Target="http://www.hse.gov.uk/pubns/books/l5.htm" TargetMode="External"/><Relationship Id="rId41" Type="http://schemas.openxmlformats.org/officeDocument/2006/relationships/hyperlink" Target="https://home360.balfourbeatty.com/ghoreferencecentre/Group%20BMS/_layouts/DocIdRedir.aspx?ID=2KHUWT73P6SE-1572-112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9024" TargetMode="External"/><Relationship Id="rId32" Type="http://schemas.openxmlformats.org/officeDocument/2006/relationships/hyperlink" Target="https://home360.balfourbeatty.com/ghoreferencecentre/Group%20BMS/_layouts/DocIdRedir.aspx?ID=2KHUWT73P6SE-1572-8083" TargetMode="External"/><Relationship Id="rId37" Type="http://schemas.openxmlformats.org/officeDocument/2006/relationships/hyperlink" Target="https://home360.balfourbeatty.com/ghoreferencecentre/Group%20BMS/_layouts/DocIdRedir.aspx?ID=2KHUWT73P6SE-1572-9025" TargetMode="External"/><Relationship Id="rId40" Type="http://schemas.openxmlformats.org/officeDocument/2006/relationships/hyperlink" Target="https://home360.balfourbeatty.com/ghoreferencecentre/Group%20BMS/_layouts/DocIdRedir.aspx?ID=2KHUWT73P6SE-1572-9023"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home360.balfourbeatty.com/UKHealthandSafety/occupational_health/Pages/Default.aspx" TargetMode="External"/><Relationship Id="rId23" Type="http://schemas.openxmlformats.org/officeDocument/2006/relationships/hyperlink" Target="http://echa.europa.eu/regulations/clp/legislation" TargetMode="External"/><Relationship Id="rId28" Type="http://schemas.openxmlformats.org/officeDocument/2006/relationships/hyperlink" Target="http://echa.europa.eu/regulations/clp/legislation" TargetMode="External"/><Relationship Id="rId36" Type="http://schemas.openxmlformats.org/officeDocument/2006/relationships/hyperlink" Target="https://home360.balfourbeatty.com/ghoreferencecentre/Group%20BMS/_layouts/DocIdRedir.aspx?ID=2KHUWT73P6SE-1572-14598"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1260" TargetMode="External"/><Relationship Id="rId31" Type="http://schemas.openxmlformats.org/officeDocument/2006/relationships/hyperlink" Target="https://home360.balfourbeatty.com/ghoreferencecentre/Group%20BMS/_layouts/DocIdRedir.aspx?ID=2KHUWT73P6SE-1572-1734"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1120" TargetMode="External"/><Relationship Id="rId22" Type="http://schemas.openxmlformats.org/officeDocument/2006/relationships/hyperlink" Target="https://home360.balfourbeatty.com/ghoreferencecentre/Group%20BMS/_layouts/DocIdRedir.aspx?ID=2KHUWT73P6SE-1572-8083" TargetMode="External"/><Relationship Id="rId27" Type="http://schemas.openxmlformats.org/officeDocument/2006/relationships/hyperlink" Target="https://home360.balfourbeatty.com/ghoreferencecentre/Group%20BMS/_layouts/DocIdRedir.aspx?ID=2KHUWT73P6SE-1572-1734" TargetMode="External"/><Relationship Id="rId30" Type="http://schemas.openxmlformats.org/officeDocument/2006/relationships/hyperlink" Target="https://cms.sypol.com/Login.aspx?ReturnUrl=%2f" TargetMode="External"/><Relationship Id="rId35" Type="http://schemas.openxmlformats.org/officeDocument/2006/relationships/hyperlink" Target="https://home360.balfourbeatty.com/ghoreferencecentre/Group%20BMS/_layouts/DocIdRedir.aspx?ID=2KHUWT73P6SE-1572-1260" TargetMode="External"/><Relationship Id="rId43" Type="http://schemas.openxmlformats.org/officeDocument/2006/relationships/header" Target="header1.xml"/><Relationship Id="rId48" Type="http://schemas.openxmlformats.org/officeDocument/2006/relationships/glossaryDocument" Target="glossary/document.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3000A4CAC5419A800678B5E1AA96BB"/>
        <w:category>
          <w:name w:val="General"/>
          <w:gallery w:val="placeholder"/>
        </w:category>
        <w:types>
          <w:type w:val="bbPlcHdr"/>
        </w:types>
        <w:behaviors>
          <w:behavior w:val="content"/>
        </w:behaviors>
        <w:guid w:val="{40A6AE4F-8B89-4027-9569-DB1FB4E1BF4F}"/>
      </w:docPartPr>
      <w:docPartBody>
        <w:p w:rsidR="00492139" w:rsidRDefault="004A699F" w:rsidP="004A699F">
          <w:pPr>
            <w:pStyle w:val="6D3000A4CAC5419A800678B5E1AA96BB"/>
          </w:pPr>
          <w:r w:rsidRPr="004D3409">
            <w:rPr>
              <w:rStyle w:val="PlaceholderText"/>
            </w:rPr>
            <w:t>[Title]</w:t>
          </w:r>
        </w:p>
      </w:docPartBody>
    </w:docPart>
    <w:docPart>
      <w:docPartPr>
        <w:name w:val="BE16703F5CB24A09BE8FD9FBB1C58AD6"/>
        <w:category>
          <w:name w:val="General"/>
          <w:gallery w:val="placeholder"/>
        </w:category>
        <w:types>
          <w:type w:val="bbPlcHdr"/>
        </w:types>
        <w:behaviors>
          <w:behavior w:val="content"/>
        </w:behaviors>
        <w:guid w:val="{9344DACF-E200-43D2-ABDB-04524D39E9F3}"/>
      </w:docPartPr>
      <w:docPartBody>
        <w:p w:rsidR="00492139" w:rsidRDefault="004A699F" w:rsidP="004A699F">
          <w:pPr>
            <w:pStyle w:val="BE16703F5CB24A09BE8FD9FBB1C58AD6"/>
          </w:pPr>
          <w:r w:rsidRPr="004D3409">
            <w:rPr>
              <w:rStyle w:val="PlaceholderText"/>
            </w:rPr>
            <w:t>[Document Type]</w:t>
          </w:r>
        </w:p>
      </w:docPartBody>
    </w:docPart>
    <w:docPart>
      <w:docPartPr>
        <w:name w:val="16168A4E81CF4162A5C2A372B66FC709"/>
        <w:category>
          <w:name w:val="General"/>
          <w:gallery w:val="placeholder"/>
        </w:category>
        <w:types>
          <w:type w:val="bbPlcHdr"/>
        </w:types>
        <w:behaviors>
          <w:behavior w:val="content"/>
        </w:behaviors>
        <w:guid w:val="{370870EE-6CA7-4C91-A4DB-49F19001953C}"/>
      </w:docPartPr>
      <w:docPartBody>
        <w:p w:rsidR="00492139" w:rsidRDefault="004A699F" w:rsidP="004A699F">
          <w:pPr>
            <w:pStyle w:val="16168A4E81CF4162A5C2A372B66FC709"/>
          </w:pPr>
          <w:r w:rsidRPr="004D3409">
            <w:rPr>
              <w:rStyle w:val="PlaceholderText"/>
            </w:rPr>
            <w:t>[Document Reference]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99F"/>
    <w:rsid w:val="00492139"/>
    <w:rsid w:val="004A69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A6DBC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699F"/>
    <w:rPr>
      <w:color w:val="808080"/>
    </w:rPr>
  </w:style>
  <w:style w:type="paragraph" w:customStyle="1" w:styleId="6D3000A4CAC5419A800678B5E1AA96BB">
    <w:name w:val="6D3000A4CAC5419A800678B5E1AA96BB"/>
    <w:rsid w:val="004A699F"/>
  </w:style>
  <w:style w:type="paragraph" w:customStyle="1" w:styleId="BE16703F5CB24A09BE8FD9FBB1C58AD6">
    <w:name w:val="BE16703F5CB24A09BE8FD9FBB1C58AD6"/>
    <w:rsid w:val="004A699F"/>
  </w:style>
  <w:style w:type="paragraph" w:customStyle="1" w:styleId="16168A4E81CF4162A5C2A372B66FC709">
    <w:name w:val="16168A4E81CF4162A5C2A372B66FC709"/>
    <w:rsid w:val="004A69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2KHUWT73P6SE-1572-1112</_dlc_DocId>
    <_dlc_DocIdUrl xmlns="1d6a0609-6bef-4a0c-9054-5891b37468d4">
      <Url>https://home360.balfourbeatty.com/ghoreferencecentre/Group%20BMS/_layouts/DocIdRedir.aspx?ID=2KHUWT73P6SE-1572-1112</Url>
      <Description>2KHUWT73P6SE-1572-1112</Description>
    </_dlc_DocIdUrl>
    <Issue_x0020_Date xmlns="860e6fe6-97cb-40b5-bc05-a76ba269d9a4">2019-06-30T23:00:00+00:00</Issue_x0020_Date>
    <Check_x0020_in_x0020_Comments xmlns="860e6fe6-97cb-40b5-bc05-a76ba269d9a4">09/11/18 360 link updated to direct users to new Occupational Health Champions list
01/07/19 reference to two new support documents added to input</Check_x0020_in_x0020_Comments>
    <Review_x0020_Date xmlns="860e6fe6-97cb-40b5-bc05-a76ba269d9a4">2022-06-30T23:00:00+00:00</Review_x0020_Date>
    <Stage_x0020_Gate xmlns="860e6fe6-97cb-40b5-bc05-a76ba269d9a4">
      <Value>N/A</Value>
    </Stage_x0020_Gate>
    <Implementation_x0020_Instructions xmlns="860e6fe6-97cb-40b5-bc05-a76ba269d9a4">Available for immediate implementation.</Implementation_x0020_Instructions>
    <Document_x0020_Reference xmlns="860e6fe6-97cb-40b5-bc05-a76ba269d9a4">HSF-PR-0021</Document_x0020_Reference>
    <Published_x0020_Version_x0020_No_x002e_ xmlns="860e6fe6-97cb-40b5-bc05-a76ba269d9a4">1.5</Published_x0020_Version_x0020_No_x002e_>
    <Function_x0020_Owner xmlns="860e6fe6-97cb-40b5-bc05-a76ba269d9a4">
      <UserInfo>
        <DisplayName>i:05.t|balfour beatty federation hub|karen.parkinson@balfourbeatty.com</DisplayName>
        <AccountId>57172</AccountId>
        <AccountType/>
      </UserInfo>
    </Function_x0020_Owner>
    <l635c062116d485e91a4b1c34047abf6 xmlns="860e6fe6-97cb-40b5-bc05-a76ba269d9a4">
      <Terms xmlns="http://schemas.microsoft.com/office/infopath/2007/PartnerControls"/>
    </l635c062116d485e91a4b1c34047abf6>
    <Doc_x0020_Authoriser xmlns="860e6fe6-97cb-40b5-bc05-a76ba269d9a4">
      <UserInfo>
        <DisplayName>Kari Sprostranova</DisplayName>
        <AccountId>61940</AccountId>
        <AccountType/>
      </UserInfo>
    </Doc_x0020_Authoriser>
    <TaxCatchAll xmlns="f43499e9-2e86-4c70-a2e2-5b27c6b5ac63">
      <Value>2023</Value>
      <Value>2076</Value>
      <Value>2972</Value>
      <Value>2006</Value>
      <Value>2001</Value>
      <Value>2004</Value>
      <Value>2003</Value>
    </TaxCatchAll>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860e6fe6-97cb-40b5-bc05-a76ba269d9a4"/>
    <ds:schemaRef ds:uri="f43499e9-2e86-4c70-a2e2-5b27c6b5ac63"/>
    <ds:schemaRef ds:uri="http://purl.org/dc/terms/"/>
    <ds:schemaRef ds:uri="1d6a0609-6bef-4a0c-9054-5891b37468d4"/>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E150307-D921-4FCF-BD6A-70DCCFF3E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5C19F3D3-B28C-4D38-8240-07A5AB1D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2938</Words>
  <Characters>16747</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Control of Substances Hazardous to Health</vt:lpstr>
    </vt:vector>
  </TitlesOfParts>
  <Company>Balfour Beatty</Company>
  <LinksUpToDate>false</LinksUpToDate>
  <CharactersWithSpaces>19646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Substances Hazardous to Health</dc:title>
  <dc:creator>Gordon Sharon</dc:creator>
  <cp:keywords>COSHH; HSF-PR-0021;  sypol; data sheet; assessment;HPCDoc; HPC Main; OccHealth; HPCCOSHH; HPCWWC</cp:keywords>
  <cp:lastModifiedBy>Bull, Alison</cp:lastModifiedBy>
  <cp:revision>2</cp:revision>
  <cp:lastPrinted>2016-03-16T10:58:00Z</cp:lastPrinted>
  <dcterms:created xsi:type="dcterms:W3CDTF">2019-10-28T13:50:00Z</dcterms:created>
  <dcterms:modified xsi:type="dcterms:W3CDTF">2019-10-28T13:50:00Z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111ae0b2-8f87-47a3-a92b-a9d6795f3877</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Document_x0020_Type">
    <vt:lpwstr>2006;#Procedure|ef954675-781c-433c-8f07-638fce2ef85f</vt:lpwstr>
  </property>
  <property fmtid="{D5CDD505-2E9C-101B-9397-08002B2CF9AE}" pid="18" name="Function">
    <vt:lpwstr>2076;#Health and Safety|bf1710f1-c784-40a1-8baa-b543f285dbbb</vt:lpwstr>
  </property>
  <property fmtid="{D5CDD505-2E9C-101B-9397-08002B2CF9AE}" pid="19" name="Policy_x0020_Level">
    <vt:lpwstr/>
  </property>
  <property fmtid="{D5CDD505-2E9C-101B-9397-08002B2CF9AE}" pid="20" name="Strategic_x0020_Business_x0020_Unit">
    <vt:lpwstr>2003;#UK|e06d6511-ac10-4bec-b088-01e1b3d41d0e</vt:lpwstr>
  </property>
  <property fmtid="{D5CDD505-2E9C-101B-9397-08002B2CF9AE}" pid="21" name="Heirarchy_x0020_Level">
    <vt:lpwstr>2001;#BB UK|c2741283-407e-4ce5-ac01-69bcd0c94879</vt:lpwstr>
  </property>
  <property fmtid="{D5CDD505-2E9C-101B-9397-08002B2CF9AE}" pid="22" name="SBU_x0020_Work_x0020_Area">
    <vt:lpwstr>2004;#N/A|4296cb01-d065-4eb6-bd3b-eb1e8777c033</vt:lpwstr>
  </property>
  <property fmtid="{D5CDD505-2E9C-101B-9397-08002B2CF9AE}" pid="23" name="Document Type">
    <vt:lpwstr>2006</vt:lpwstr>
  </property>
  <property fmtid="{D5CDD505-2E9C-101B-9397-08002B2CF9AE}" pid="24" name="SBU Work Area">
    <vt:lpwstr>2004</vt:lpwstr>
  </property>
  <property fmtid="{D5CDD505-2E9C-101B-9397-08002B2CF9AE}" pid="25" name="Strategic Business Unit">
    <vt:lpwstr>2003</vt:lpwstr>
  </property>
  <property fmtid="{D5CDD505-2E9C-101B-9397-08002B2CF9AE}" pid="26" name="Heirarchy Level">
    <vt:lpwstr>2001</vt:lpwstr>
  </property>
  <property fmtid="{D5CDD505-2E9C-101B-9397-08002B2CF9AE}" pid="27" name="Activity">
    <vt:lpwstr/>
  </property>
  <property fmtid="{D5CDD505-2E9C-101B-9397-08002B2CF9AE}" pid="28" name="FileLocation">
    <vt:lpwstr/>
  </property>
  <property fmtid="{D5CDD505-2E9C-101B-9397-08002B2CF9AE}" pid="29" name="JobRole">
    <vt:lpwstr/>
  </property>
  <property fmtid="{D5CDD505-2E9C-101B-9397-08002B2CF9AE}" pid="30" name="Duration">
    <vt:lpwstr>2972;#Ad-Hoc|d210ed7b-adfa-4979-b24e-c0a631c54341</vt:lpwstr>
  </property>
  <property fmtid="{D5CDD505-2E9C-101B-9397-08002B2CF9AE}" pid="31" name="Archived">
    <vt:lpwstr/>
  </property>
  <property fmtid="{D5CDD505-2E9C-101B-9397-08002B2CF9AE}" pid="32" name="Policy Level">
    <vt:lpwstr/>
  </property>
</Properties>
</file>