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0EB47" w14:textId="77777777" w:rsidR="009A5868" w:rsidRDefault="00DB2AED" w:rsidP="00F64AE5">
      <w:pPr>
        <w:pStyle w:val="BMSBodyText"/>
        <w:jc w:val="both"/>
        <w:rPr>
          <w:b/>
        </w:rPr>
      </w:pPr>
      <w:bookmarkStart w:id="0" w:name="_GoBack"/>
      <w:bookmarkEnd w:id="0"/>
      <w:r w:rsidRPr="00AD5BC0">
        <w:rPr>
          <w:b/>
        </w:rPr>
        <w:t>Introduction</w:t>
      </w:r>
    </w:p>
    <w:p w14:paraId="4560EB48" w14:textId="77777777" w:rsidR="006A40B6" w:rsidRDefault="006A40B6" w:rsidP="006A40B6">
      <w:pPr>
        <w:pStyle w:val="BMSBodyText"/>
      </w:pPr>
      <w:r>
        <w:t>Balfour Beatty uses</w:t>
      </w:r>
      <w:r w:rsidR="00DE6D82">
        <w:t xml:space="preserve"> fuels</w:t>
      </w:r>
      <w:r w:rsidR="0008194B">
        <w:t>, oils</w:t>
      </w:r>
      <w:r w:rsidR="00DE6D82">
        <w:t xml:space="preserve"> and other liquids</w:t>
      </w:r>
      <w:r>
        <w:t>, which if spill</w:t>
      </w:r>
      <w:r w:rsidR="00516934">
        <w:t>ed</w:t>
      </w:r>
      <w:r>
        <w:t xml:space="preserve"> or leak</w:t>
      </w:r>
      <w:r w:rsidR="00516934">
        <w:t>ed</w:t>
      </w:r>
      <w:r>
        <w:t xml:space="preserve"> have the potential to cause significant environmental pollution by entering drainage systems and surrounding grou</w:t>
      </w:r>
      <w:r w:rsidR="00877A62">
        <w:t xml:space="preserve">nd, contaminating ground water and </w:t>
      </w:r>
      <w:r>
        <w:t>water supplies and surrounding land.  Additionally, they may cause health &amp; safety risks, particularly around the clean-up of the spilt material.</w:t>
      </w:r>
    </w:p>
    <w:p w14:paraId="4560EB49" w14:textId="77777777" w:rsidR="006A40B6" w:rsidRDefault="006A40B6" w:rsidP="006A40B6">
      <w:pPr>
        <w:pStyle w:val="BMSBodyText"/>
        <w:tabs>
          <w:tab w:val="left" w:pos="8042"/>
        </w:tabs>
      </w:pPr>
      <w:r>
        <w:tab/>
      </w:r>
    </w:p>
    <w:p w14:paraId="4560EB4A" w14:textId="77777777" w:rsidR="00DE6D82" w:rsidRDefault="00DE6D82" w:rsidP="0008194B">
      <w:pPr>
        <w:pStyle w:val="BMSBodyText"/>
        <w:tabs>
          <w:tab w:val="left" w:pos="4728"/>
        </w:tabs>
      </w:pPr>
      <w:r>
        <w:t>Oil includes:</w:t>
      </w:r>
      <w:r w:rsidR="0008194B">
        <w:tab/>
      </w:r>
    </w:p>
    <w:p w14:paraId="4560EB4B" w14:textId="77777777" w:rsidR="00180C33" w:rsidRDefault="00180C33" w:rsidP="006A40B6">
      <w:pPr>
        <w:pStyle w:val="BMSBodyText"/>
      </w:pPr>
    </w:p>
    <w:tbl>
      <w:tblPr>
        <w:tblStyle w:val="TableGrid"/>
        <w:tblW w:w="0" w:type="auto"/>
        <w:tblInd w:w="108" w:type="dxa"/>
        <w:tblLook w:val="04A0" w:firstRow="1" w:lastRow="0" w:firstColumn="1" w:lastColumn="0" w:noHBand="0" w:noVBand="1"/>
      </w:tblPr>
      <w:tblGrid>
        <w:gridCol w:w="5128"/>
        <w:gridCol w:w="5243"/>
      </w:tblGrid>
      <w:tr w:rsidR="00180C33" w14:paraId="4560EB4E" w14:textId="77777777" w:rsidTr="009D63AB">
        <w:tc>
          <w:tcPr>
            <w:tcW w:w="5244" w:type="dxa"/>
          </w:tcPr>
          <w:p w14:paraId="4560EB4C" w14:textId="77777777" w:rsidR="00180C33" w:rsidRDefault="00180C33" w:rsidP="006A40B6">
            <w:pPr>
              <w:pStyle w:val="BMSBodyText"/>
            </w:pPr>
            <w:r>
              <w:t>Petrol</w:t>
            </w:r>
          </w:p>
        </w:tc>
        <w:tc>
          <w:tcPr>
            <w:tcW w:w="5353" w:type="dxa"/>
          </w:tcPr>
          <w:p w14:paraId="4560EB4D" w14:textId="77777777" w:rsidR="00180C33" w:rsidRDefault="00180C33" w:rsidP="006A40B6">
            <w:pPr>
              <w:pStyle w:val="BMSBodyText"/>
            </w:pPr>
            <w:r>
              <w:t>Oils used as solvents</w:t>
            </w:r>
          </w:p>
        </w:tc>
      </w:tr>
      <w:tr w:rsidR="00180C33" w14:paraId="4560EB51" w14:textId="77777777" w:rsidTr="009D63AB">
        <w:tc>
          <w:tcPr>
            <w:tcW w:w="5244" w:type="dxa"/>
          </w:tcPr>
          <w:p w14:paraId="4560EB4F" w14:textId="77777777" w:rsidR="00180C33" w:rsidRPr="009D63AB" w:rsidRDefault="00180C33" w:rsidP="006A40B6">
            <w:pPr>
              <w:pStyle w:val="BMSBodyText"/>
            </w:pPr>
            <w:r w:rsidRPr="009D63AB">
              <w:t>Diesel</w:t>
            </w:r>
            <w:r w:rsidR="00516934" w:rsidRPr="009D63AB">
              <w:t>/Red Diesel (Gas Oil)</w:t>
            </w:r>
          </w:p>
        </w:tc>
        <w:tc>
          <w:tcPr>
            <w:tcW w:w="5353" w:type="dxa"/>
          </w:tcPr>
          <w:p w14:paraId="4560EB50" w14:textId="77777777" w:rsidR="00180C33" w:rsidRDefault="00180C33" w:rsidP="006A40B6">
            <w:pPr>
              <w:pStyle w:val="BMSBodyText"/>
            </w:pPr>
            <w:r>
              <w:t>Biodegradable oils, usually lubricating or hydraulic oils</w:t>
            </w:r>
          </w:p>
        </w:tc>
      </w:tr>
      <w:tr w:rsidR="00244470" w14:paraId="4560EB54" w14:textId="77777777" w:rsidTr="009D63AB">
        <w:tc>
          <w:tcPr>
            <w:tcW w:w="5244" w:type="dxa"/>
          </w:tcPr>
          <w:p w14:paraId="4560EB52" w14:textId="77777777" w:rsidR="00244470" w:rsidRDefault="00244470" w:rsidP="006A40B6">
            <w:pPr>
              <w:pStyle w:val="BMSBodyText"/>
            </w:pPr>
            <w:r>
              <w:t>Heating oil /boiler fuel</w:t>
            </w:r>
          </w:p>
        </w:tc>
        <w:tc>
          <w:tcPr>
            <w:tcW w:w="5353" w:type="dxa"/>
          </w:tcPr>
          <w:p w14:paraId="4560EB53" w14:textId="77777777" w:rsidR="00244470" w:rsidRDefault="00244470" w:rsidP="00A6692A">
            <w:pPr>
              <w:pStyle w:val="BMSBodyText"/>
            </w:pPr>
            <w:r>
              <w:t>Liquid bitumen-based products, for example waterproofing or damp proofing products, or coatings for a road surface</w:t>
            </w:r>
          </w:p>
        </w:tc>
      </w:tr>
      <w:tr w:rsidR="00244470" w14:paraId="4560EB57" w14:textId="77777777" w:rsidTr="009D63AB">
        <w:tc>
          <w:tcPr>
            <w:tcW w:w="5244" w:type="dxa"/>
          </w:tcPr>
          <w:p w14:paraId="4560EB55" w14:textId="77777777" w:rsidR="00244470" w:rsidRDefault="00244470" w:rsidP="006A40B6">
            <w:pPr>
              <w:pStyle w:val="BMSBodyText"/>
            </w:pPr>
            <w:r>
              <w:t>Biofuels</w:t>
            </w:r>
          </w:p>
        </w:tc>
        <w:tc>
          <w:tcPr>
            <w:tcW w:w="5353" w:type="dxa"/>
          </w:tcPr>
          <w:p w14:paraId="4560EB56" w14:textId="77777777" w:rsidR="00244470" w:rsidRDefault="00244470" w:rsidP="00A6692A">
            <w:pPr>
              <w:pStyle w:val="BMSBodyText"/>
            </w:pPr>
            <w:r>
              <w:t>Cutting fluids, for example lubricants designed specifically for metalworking processes, that are made from or contain oil as oil-water emulsions</w:t>
            </w:r>
          </w:p>
        </w:tc>
      </w:tr>
      <w:tr w:rsidR="00244470" w14:paraId="4560EB5A" w14:textId="77777777" w:rsidTr="009D63AB">
        <w:tc>
          <w:tcPr>
            <w:tcW w:w="5244" w:type="dxa"/>
          </w:tcPr>
          <w:p w14:paraId="4560EB58" w14:textId="77777777" w:rsidR="00244470" w:rsidRDefault="00244470" w:rsidP="006A40B6">
            <w:pPr>
              <w:pStyle w:val="BMSBodyText"/>
            </w:pPr>
            <w:r>
              <w:t>Kerosene</w:t>
            </w:r>
          </w:p>
        </w:tc>
        <w:tc>
          <w:tcPr>
            <w:tcW w:w="5353" w:type="dxa"/>
          </w:tcPr>
          <w:p w14:paraId="4560EB59" w14:textId="77777777" w:rsidR="00244470" w:rsidRDefault="00244470" w:rsidP="00A6692A">
            <w:pPr>
              <w:pStyle w:val="BMSBodyText"/>
            </w:pPr>
            <w:r>
              <w:t>Insulating oils, used as electrical insulator and coolant</w:t>
            </w:r>
          </w:p>
        </w:tc>
      </w:tr>
      <w:tr w:rsidR="00244470" w14:paraId="4560EB5D" w14:textId="77777777" w:rsidTr="009D63AB">
        <w:tc>
          <w:tcPr>
            <w:tcW w:w="5244" w:type="dxa"/>
          </w:tcPr>
          <w:p w14:paraId="4560EB5B" w14:textId="77777777" w:rsidR="00244470" w:rsidRDefault="00244470" w:rsidP="006A40B6">
            <w:pPr>
              <w:pStyle w:val="BMSBodyText"/>
            </w:pPr>
            <w:r>
              <w:t>Vegetable Oils</w:t>
            </w:r>
          </w:p>
        </w:tc>
        <w:tc>
          <w:tcPr>
            <w:tcW w:w="5353" w:type="dxa"/>
          </w:tcPr>
          <w:p w14:paraId="4560EB5C" w14:textId="77777777" w:rsidR="00244470" w:rsidRDefault="00244470" w:rsidP="00A6692A">
            <w:pPr>
              <w:pStyle w:val="BMSBodyText"/>
            </w:pPr>
            <w:r>
              <w:t>Waste oil</w:t>
            </w:r>
          </w:p>
        </w:tc>
      </w:tr>
      <w:tr w:rsidR="00244470" w14:paraId="4560EB60" w14:textId="77777777" w:rsidTr="009D63AB">
        <w:tc>
          <w:tcPr>
            <w:tcW w:w="5244" w:type="dxa"/>
          </w:tcPr>
          <w:p w14:paraId="4560EB5E" w14:textId="77777777" w:rsidR="00244470" w:rsidRDefault="00244470" w:rsidP="006A40B6">
            <w:pPr>
              <w:pStyle w:val="BMSBodyText"/>
            </w:pPr>
            <w:r>
              <w:t>Synthetic oils, normally lubricating oils such as motor oil</w:t>
            </w:r>
          </w:p>
        </w:tc>
        <w:tc>
          <w:tcPr>
            <w:tcW w:w="5353" w:type="dxa"/>
          </w:tcPr>
          <w:p w14:paraId="4560EB5F" w14:textId="77777777" w:rsidR="00244470" w:rsidRDefault="00244470" w:rsidP="006A40B6">
            <w:pPr>
              <w:pStyle w:val="BMSBodyText"/>
            </w:pPr>
          </w:p>
        </w:tc>
      </w:tr>
    </w:tbl>
    <w:p w14:paraId="4560EB61" w14:textId="77777777" w:rsidR="00DE6D82" w:rsidRDefault="00DE6D82" w:rsidP="006A40B6">
      <w:pPr>
        <w:pStyle w:val="BMSBodyText"/>
      </w:pPr>
    </w:p>
    <w:p w14:paraId="4560EB62" w14:textId="77777777" w:rsidR="006A40B6" w:rsidRDefault="00180C33" w:rsidP="00180C33">
      <w:pPr>
        <w:pStyle w:val="BMSBodyText"/>
      </w:pPr>
      <w:r>
        <w:t xml:space="preserve">Other liquids </w:t>
      </w:r>
      <w:r w:rsidR="006A40B6">
        <w:t>which may lead to harm include:</w:t>
      </w:r>
    </w:p>
    <w:p w14:paraId="4560EB63" w14:textId="77777777" w:rsidR="006A40B6" w:rsidRDefault="006A40B6" w:rsidP="000B4042">
      <w:pPr>
        <w:pStyle w:val="BMSBodyText"/>
        <w:numPr>
          <w:ilvl w:val="0"/>
          <w:numId w:val="1"/>
        </w:numPr>
      </w:pPr>
      <w:r>
        <w:t>Solvents e.g. white spirit, paraffin</w:t>
      </w:r>
    </w:p>
    <w:p w14:paraId="4560EB64" w14:textId="77777777" w:rsidR="006A40B6" w:rsidRDefault="006A40B6" w:rsidP="000B4042">
      <w:pPr>
        <w:pStyle w:val="BMSBodyText"/>
        <w:numPr>
          <w:ilvl w:val="0"/>
          <w:numId w:val="1"/>
        </w:numPr>
      </w:pPr>
      <w:r>
        <w:t>Pesticides, herbicides, biocides</w:t>
      </w:r>
    </w:p>
    <w:p w14:paraId="4560EB65" w14:textId="77777777" w:rsidR="006A40B6" w:rsidRDefault="006A40B6" w:rsidP="000B4042">
      <w:pPr>
        <w:pStyle w:val="BMSBodyText"/>
        <w:numPr>
          <w:ilvl w:val="0"/>
          <w:numId w:val="1"/>
        </w:numPr>
      </w:pPr>
      <w:r>
        <w:t>Chemicals e.g. antifreeze, wood preservatives, chlorine, brake fluid, cleaning materials</w:t>
      </w:r>
    </w:p>
    <w:p w14:paraId="4560EB66" w14:textId="77777777" w:rsidR="006A40B6" w:rsidRDefault="006A40B6" w:rsidP="000B4042">
      <w:pPr>
        <w:pStyle w:val="BMSBodyText"/>
        <w:numPr>
          <w:ilvl w:val="0"/>
          <w:numId w:val="1"/>
        </w:numPr>
      </w:pPr>
      <w:r>
        <w:t>Battery acid</w:t>
      </w:r>
    </w:p>
    <w:p w14:paraId="4560EB67" w14:textId="77777777" w:rsidR="006A40B6" w:rsidRDefault="006A40B6" w:rsidP="000B4042">
      <w:pPr>
        <w:pStyle w:val="BMSBodyText"/>
        <w:numPr>
          <w:ilvl w:val="0"/>
          <w:numId w:val="1"/>
        </w:numPr>
      </w:pPr>
      <w:r>
        <w:t>Paint</w:t>
      </w:r>
    </w:p>
    <w:p w14:paraId="4560EB68" w14:textId="77777777" w:rsidR="006A40B6" w:rsidRDefault="006A40B6" w:rsidP="000B4042">
      <w:pPr>
        <w:pStyle w:val="BMSBodyText"/>
        <w:numPr>
          <w:ilvl w:val="0"/>
          <w:numId w:val="1"/>
        </w:numPr>
      </w:pPr>
      <w:r>
        <w:t>Sewage effluent</w:t>
      </w:r>
    </w:p>
    <w:p w14:paraId="4560EB69" w14:textId="77777777" w:rsidR="006A40B6" w:rsidRDefault="006A40B6" w:rsidP="006A40B6">
      <w:pPr>
        <w:pStyle w:val="BMSBodyText"/>
      </w:pPr>
    </w:p>
    <w:p w14:paraId="4560EB6A" w14:textId="77777777" w:rsidR="006A40B6" w:rsidRDefault="006A40B6" w:rsidP="006A40B6">
      <w:pPr>
        <w:pStyle w:val="BMSBodyText"/>
      </w:pPr>
      <w:r>
        <w:t>It is therefore im</w:t>
      </w:r>
      <w:r w:rsidR="00877A62">
        <w:t>portant</w:t>
      </w:r>
      <w:r>
        <w:t xml:space="preserve"> that all</w:t>
      </w:r>
      <w:r w:rsidR="0008194B">
        <w:t xml:space="preserve"> liquids</w:t>
      </w:r>
      <w:r w:rsidR="00516934">
        <w:t>,</w:t>
      </w:r>
      <w:r w:rsidR="0008194B">
        <w:t xml:space="preserve"> fuels and oils</w:t>
      </w:r>
      <w:r w:rsidR="00B52D4A">
        <w:t xml:space="preserve"> are</w:t>
      </w:r>
      <w:r>
        <w:t xml:space="preserve"> stored appropriately to minimise the risk of pollution.</w:t>
      </w:r>
    </w:p>
    <w:p w14:paraId="4560EB6B" w14:textId="77777777" w:rsidR="00B341C5" w:rsidRDefault="00B341C5" w:rsidP="006A40B6">
      <w:pPr>
        <w:pStyle w:val="BMSBodyText"/>
      </w:pPr>
    </w:p>
    <w:p w14:paraId="4560EB6C" w14:textId="77777777" w:rsidR="00B341C5" w:rsidRDefault="00B341C5" w:rsidP="006A40B6">
      <w:pPr>
        <w:pStyle w:val="BMSBodyText"/>
      </w:pPr>
      <w:r>
        <w:t xml:space="preserve">In England, Northern Ireland, Scotland and Wales there are regulations which </w:t>
      </w:r>
      <w:r w:rsidRPr="00B341C5">
        <w:t>impose controls of equip</w:t>
      </w:r>
      <w:r w:rsidR="00180C33">
        <w:t>ment used in the storage of oil</w:t>
      </w:r>
      <w:r w:rsidRPr="00B341C5">
        <w:t>.</w:t>
      </w:r>
      <w:r w:rsidR="00DE6D82">
        <w:t xml:space="preserve">  These apply to any container with a storage capacity of over 200 litres</w:t>
      </w:r>
      <w:r w:rsidR="00516934">
        <w:t xml:space="preserve"> (which is less than the size of an oil drum)</w:t>
      </w:r>
      <w:r w:rsidR="00DE6D82">
        <w:t>.</w:t>
      </w:r>
    </w:p>
    <w:p w14:paraId="4560EB6D" w14:textId="77777777" w:rsidR="00180C33" w:rsidRDefault="00180C33" w:rsidP="006A40B6">
      <w:pPr>
        <w:pStyle w:val="BMSBodyText"/>
      </w:pPr>
    </w:p>
    <w:p w14:paraId="4560EB6E" w14:textId="77777777" w:rsidR="00180C33" w:rsidRDefault="00180C33" w:rsidP="006A40B6">
      <w:pPr>
        <w:pStyle w:val="BMSBodyText"/>
      </w:pPr>
      <w:r>
        <w:t>A best practice approach should be taken for:</w:t>
      </w:r>
    </w:p>
    <w:p w14:paraId="4560EB6F" w14:textId="77777777" w:rsidR="00706427" w:rsidRPr="00180C33" w:rsidRDefault="00180C33" w:rsidP="00F64AE5">
      <w:pPr>
        <w:pStyle w:val="BMSBodyText"/>
        <w:numPr>
          <w:ilvl w:val="0"/>
          <w:numId w:val="14"/>
        </w:numPr>
        <w:jc w:val="both"/>
        <w:rPr>
          <w:b/>
        </w:rPr>
      </w:pPr>
      <w:r>
        <w:t xml:space="preserve">Oil storage containers with a capacity of less than 200 litres </w:t>
      </w:r>
    </w:p>
    <w:p w14:paraId="4560EB70" w14:textId="77777777" w:rsidR="00180C33" w:rsidRPr="00180C33" w:rsidRDefault="00180C33" w:rsidP="00F64AE5">
      <w:pPr>
        <w:pStyle w:val="BMSBodyText"/>
        <w:numPr>
          <w:ilvl w:val="0"/>
          <w:numId w:val="14"/>
        </w:numPr>
        <w:jc w:val="both"/>
        <w:rPr>
          <w:b/>
        </w:rPr>
      </w:pPr>
      <w:r>
        <w:t>Other liquids i.e. non-oils</w:t>
      </w:r>
    </w:p>
    <w:p w14:paraId="4560EB71" w14:textId="77777777" w:rsidR="00180C33" w:rsidRDefault="00180C33" w:rsidP="00180C33">
      <w:pPr>
        <w:pStyle w:val="BMSBodyText"/>
        <w:ind w:left="720"/>
        <w:jc w:val="both"/>
      </w:pPr>
    </w:p>
    <w:p w14:paraId="4560EB72" w14:textId="77777777" w:rsidR="00180C33" w:rsidRDefault="00180C33" w:rsidP="00180C33">
      <w:pPr>
        <w:pStyle w:val="BMSBodyText"/>
        <w:ind w:left="720"/>
        <w:jc w:val="both"/>
      </w:pPr>
    </w:p>
    <w:p w14:paraId="4560EB73" w14:textId="77777777" w:rsidR="00180C33" w:rsidRPr="00180C33" w:rsidRDefault="00180C33" w:rsidP="00FB0D1F">
      <w:pPr>
        <w:pStyle w:val="BMSBodyText"/>
        <w:jc w:val="both"/>
        <w:rPr>
          <w:b/>
        </w:rPr>
      </w:pPr>
    </w:p>
    <w:p w14:paraId="4560EB74" w14:textId="77777777" w:rsidR="00E84CB3" w:rsidRDefault="00E84CB3" w:rsidP="00F64AE5">
      <w:pPr>
        <w:pStyle w:val="BMSBodyText"/>
        <w:jc w:val="both"/>
        <w:rPr>
          <w:b/>
        </w:rPr>
      </w:pPr>
      <w:r w:rsidRPr="00E84CB3">
        <w:rPr>
          <w:b/>
        </w:rPr>
        <w:lastRenderedPageBreak/>
        <w:t>Abbreviations / Definitions</w:t>
      </w:r>
    </w:p>
    <w:p w14:paraId="4560EB75" w14:textId="77777777" w:rsidR="00E84CB3" w:rsidRDefault="00E84CB3" w:rsidP="00F64AE5">
      <w:pPr>
        <w:pStyle w:val="BMSBodyText"/>
        <w:jc w:val="both"/>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8756"/>
      </w:tblGrid>
      <w:tr w:rsidR="00E84CB3" w:rsidRPr="001B2168" w14:paraId="4560EB78"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76" w14:textId="77777777" w:rsidR="00E84CB3" w:rsidRDefault="00E84CB3" w:rsidP="00B341C5">
            <w:pPr>
              <w:pStyle w:val="BMSBodyText"/>
              <w:rPr>
                <w:b/>
              </w:rPr>
            </w:pPr>
            <w:r>
              <w:rPr>
                <w:b/>
              </w:rPr>
              <w:t>Ancillary equipment</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77" w14:textId="77777777" w:rsidR="00E84CB3" w:rsidRPr="001B2168" w:rsidRDefault="00E84CB3" w:rsidP="0037768A">
            <w:pPr>
              <w:spacing w:before="60" w:after="60"/>
              <w:jc w:val="both"/>
              <w:rPr>
                <w:rFonts w:cs="Arial"/>
                <w:b/>
              </w:rPr>
            </w:pPr>
            <w:r>
              <w:t>V</w:t>
            </w:r>
            <w:r w:rsidRPr="00E84CB3">
              <w:t>alves, filters, sight gauges, vent pipes and taps that are connected to the oil storage container. All ancillary equipment must be within a secondary containment system.</w:t>
            </w:r>
          </w:p>
        </w:tc>
      </w:tr>
      <w:tr w:rsidR="00E84CB3" w14:paraId="4560EB7B"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79" w14:textId="77777777" w:rsidR="00E84CB3" w:rsidRDefault="00E84CB3" w:rsidP="00B341C5">
            <w:pPr>
              <w:pStyle w:val="BMSBodyText"/>
              <w:rPr>
                <w:b/>
              </w:rPr>
            </w:pPr>
            <w:r>
              <w:rPr>
                <w:b/>
              </w:rPr>
              <w:t>Bunds</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7A" w14:textId="77777777" w:rsidR="00E84CB3" w:rsidRDefault="00E84CB3" w:rsidP="0037768A">
            <w:pPr>
              <w:pStyle w:val="BMSBodyText"/>
              <w:jc w:val="both"/>
            </w:pPr>
            <w:r>
              <w:t>Wa</w:t>
            </w:r>
            <w:r w:rsidRPr="00E84CB3">
              <w:t>lled structures (usually built from bricks</w:t>
            </w:r>
            <w:r>
              <w:t>, blocks</w:t>
            </w:r>
            <w:r w:rsidRPr="00E84CB3">
              <w:t xml:space="preserve"> or concrete) designed to contain spillages</w:t>
            </w:r>
            <w:r w:rsidR="00190E4B">
              <w:t xml:space="preserve"> i.e. an outer case which holds the container.</w:t>
            </w:r>
          </w:p>
        </w:tc>
      </w:tr>
      <w:tr w:rsidR="00E84CB3" w14:paraId="4560EB7E"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7C" w14:textId="77777777" w:rsidR="00E84CB3" w:rsidRDefault="00E84CB3" w:rsidP="00B341C5">
            <w:pPr>
              <w:pStyle w:val="BMSBodyText"/>
              <w:rPr>
                <w:b/>
              </w:rPr>
            </w:pPr>
            <w:r>
              <w:rPr>
                <w:b/>
              </w:rPr>
              <w:t>Container</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7D" w14:textId="77777777" w:rsidR="00E84CB3" w:rsidRDefault="00E84CB3" w:rsidP="00190E4B">
            <w:pPr>
              <w:pStyle w:val="BMSBodyText"/>
              <w:jc w:val="both"/>
            </w:pPr>
            <w:r>
              <w:t>R</w:t>
            </w:r>
            <w:r w:rsidRPr="00E84CB3">
              <w:t xml:space="preserve">efers to oil storage tanks, bowsers, drums or any other vessel </w:t>
            </w:r>
            <w:r w:rsidR="00190E4B">
              <w:t>with a capacity of more than 200 litres.</w:t>
            </w:r>
          </w:p>
        </w:tc>
      </w:tr>
      <w:tr w:rsidR="00E84CB3" w:rsidRPr="001C2A3C" w14:paraId="4560EB81"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7F" w14:textId="77777777" w:rsidR="00E84CB3" w:rsidRPr="001C2A3C" w:rsidRDefault="00190E4B" w:rsidP="00B341C5">
            <w:pPr>
              <w:pStyle w:val="BMSBodyText"/>
              <w:rPr>
                <w:b/>
              </w:rPr>
            </w:pPr>
            <w:r>
              <w:rPr>
                <w:b/>
              </w:rPr>
              <w:t>Double skinned / twin walled tank</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80" w14:textId="77777777" w:rsidR="00E84CB3" w:rsidRPr="001C2A3C" w:rsidRDefault="00E84CB3" w:rsidP="0037768A">
            <w:pPr>
              <w:pStyle w:val="BMSBodyText"/>
              <w:jc w:val="both"/>
            </w:pPr>
            <w:r>
              <w:t>R</w:t>
            </w:r>
            <w:r w:rsidR="00190E4B">
              <w:t xml:space="preserve">efers to a tank that has a second </w:t>
            </w:r>
            <w:r w:rsidRPr="00E84CB3">
              <w:t xml:space="preserve">outer skin </w:t>
            </w:r>
            <w:r w:rsidR="00190E4B">
              <w:t>for extra strength</w:t>
            </w:r>
            <w:r w:rsidR="00D708EB">
              <w:t xml:space="preserve">, with a very small gap between the two.  None of the pipework or ancillary equipment is contained.  Unlikely to have 110% overfill capacity, in which case </w:t>
            </w:r>
            <w:r w:rsidR="00877A62">
              <w:t xml:space="preserve">it </w:t>
            </w:r>
            <w:r w:rsidR="00190E4B">
              <w:t>isn’t classed as</w:t>
            </w:r>
            <w:r w:rsidR="00877A62">
              <w:t xml:space="preserve"> a </w:t>
            </w:r>
            <w:r w:rsidR="00D82528">
              <w:t>bunded tank or</w:t>
            </w:r>
            <w:r w:rsidR="00190E4B">
              <w:t xml:space="preserve"> </w:t>
            </w:r>
            <w:r w:rsidR="00D708EB">
              <w:t>secondary containment.</w:t>
            </w:r>
          </w:p>
        </w:tc>
      </w:tr>
      <w:tr w:rsidR="00E84CB3" w:rsidRPr="0055220D" w14:paraId="4560EB85"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82" w14:textId="77777777" w:rsidR="00E84CB3" w:rsidRDefault="00E84CB3" w:rsidP="00B341C5">
            <w:pPr>
              <w:pStyle w:val="BMSBodyText"/>
              <w:rPr>
                <w:b/>
              </w:rPr>
            </w:pPr>
            <w:r>
              <w:rPr>
                <w:b/>
              </w:rPr>
              <w:t>Foul water drains</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83" w14:textId="77777777" w:rsidR="00E84CB3" w:rsidRPr="00E84CB3" w:rsidRDefault="00E84CB3" w:rsidP="00E84CB3">
            <w:pPr>
              <w:pStyle w:val="BMSBodyText"/>
              <w:jc w:val="both"/>
            </w:pPr>
            <w:r>
              <w:t>D</w:t>
            </w:r>
            <w:r w:rsidRPr="00E84CB3">
              <w:t>esigned to carry waste water safely to a water sewage works.</w:t>
            </w:r>
          </w:p>
          <w:p w14:paraId="4560EB84" w14:textId="77777777" w:rsidR="00E84CB3" w:rsidRPr="0055220D" w:rsidRDefault="00E84CB3" w:rsidP="0037768A">
            <w:pPr>
              <w:pStyle w:val="BMSBodyText"/>
              <w:jc w:val="both"/>
            </w:pPr>
          </w:p>
        </w:tc>
      </w:tr>
      <w:tr w:rsidR="00D82528" w:rsidRPr="0055220D" w14:paraId="4560EB88"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86" w14:textId="77777777" w:rsidR="00D82528" w:rsidRPr="00D82528" w:rsidRDefault="00D82528" w:rsidP="00B341C5">
            <w:pPr>
              <w:pStyle w:val="BMSBodyText"/>
              <w:rPr>
                <w:b/>
              </w:rPr>
            </w:pPr>
            <w:r>
              <w:rPr>
                <w:b/>
              </w:rPr>
              <w:t>Integrally bunded tank</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87" w14:textId="77777777" w:rsidR="00D82528" w:rsidRDefault="00D82528" w:rsidP="00877A62">
            <w:pPr>
              <w:pStyle w:val="BMSBodyText"/>
              <w:jc w:val="both"/>
            </w:pPr>
            <w:r>
              <w:t>Refers to a tank within a tank.  The liquid is stored within the primary or inner tank and the outer tank forms th</w:t>
            </w:r>
            <w:r w:rsidR="00877A62">
              <w:t>e required bund with capacity of</w:t>
            </w:r>
            <w:r>
              <w:t xml:space="preserve"> 110% of the primary tank’s capacity.  </w:t>
            </w:r>
            <w:r w:rsidR="00E17A0E">
              <w:t xml:space="preserve">The pipework and ancillary equipment </w:t>
            </w:r>
            <w:proofErr w:type="gramStart"/>
            <w:r w:rsidR="00E17A0E">
              <w:t>is</w:t>
            </w:r>
            <w:proofErr w:type="gramEnd"/>
            <w:r w:rsidR="00E17A0E">
              <w:t xml:space="preserve"> usually encased.  </w:t>
            </w:r>
            <w:r w:rsidR="00B2229A">
              <w:t>The tank is u</w:t>
            </w:r>
            <w:r>
              <w:t xml:space="preserve">sually made </w:t>
            </w:r>
            <w:r w:rsidR="00E17A0E">
              <w:t>f</w:t>
            </w:r>
            <w:r>
              <w:t>rom polyethylene or steel.</w:t>
            </w:r>
          </w:p>
        </w:tc>
      </w:tr>
      <w:tr w:rsidR="00E84CB3" w:rsidRPr="0055220D" w14:paraId="4560EB8B"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89" w14:textId="77777777" w:rsidR="00E84CB3" w:rsidRDefault="00E84CB3" w:rsidP="00B341C5">
            <w:pPr>
              <w:pStyle w:val="BMSBodyText"/>
              <w:rPr>
                <w:b/>
              </w:rPr>
            </w:pPr>
            <w:r>
              <w:rPr>
                <w:b/>
              </w:rPr>
              <w:t>Receptors</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8A" w14:textId="77777777" w:rsidR="00E84CB3" w:rsidRPr="0055220D" w:rsidRDefault="00E84CB3" w:rsidP="0037768A">
            <w:pPr>
              <w:pStyle w:val="BMSBodyText"/>
              <w:jc w:val="both"/>
            </w:pPr>
            <w:r>
              <w:t>R</w:t>
            </w:r>
            <w:r w:rsidRPr="00E84CB3">
              <w:t>ivers, lakes, ponds, streams, and other surface waters, soil and drains that are exposed to pollution (something that could be advers</w:t>
            </w:r>
            <w:r w:rsidR="00190E4B">
              <w:t>ely affected by a contaminant).</w:t>
            </w:r>
          </w:p>
        </w:tc>
      </w:tr>
      <w:tr w:rsidR="00E84CB3" w:rsidRPr="0055220D" w14:paraId="4560EB8F"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8C" w14:textId="77777777" w:rsidR="00E84CB3" w:rsidRDefault="00E84CB3" w:rsidP="00B341C5">
            <w:pPr>
              <w:pStyle w:val="BMSBodyText"/>
              <w:rPr>
                <w:b/>
              </w:rPr>
            </w:pPr>
            <w:r>
              <w:rPr>
                <w:b/>
              </w:rPr>
              <w:t>Secondary Containment Systems</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8D" w14:textId="77777777" w:rsidR="00E84CB3" w:rsidRPr="00E84CB3" w:rsidRDefault="00B2229A" w:rsidP="00E84CB3">
            <w:pPr>
              <w:pStyle w:val="BMSBodyText"/>
              <w:jc w:val="both"/>
            </w:pPr>
            <w:r>
              <w:t>Includes a bund, drip tray beneath a container or an integrally bunded tank.</w:t>
            </w:r>
          </w:p>
          <w:p w14:paraId="4560EB8E" w14:textId="77777777" w:rsidR="00E84CB3" w:rsidRPr="0055220D" w:rsidRDefault="00E84CB3" w:rsidP="0037768A">
            <w:pPr>
              <w:pStyle w:val="BMSBodyText"/>
              <w:jc w:val="both"/>
            </w:pPr>
          </w:p>
        </w:tc>
      </w:tr>
      <w:tr w:rsidR="00E84CB3" w:rsidRPr="0055220D" w14:paraId="4560EB93"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90" w14:textId="77777777" w:rsidR="00E84CB3" w:rsidRDefault="00E84CB3" w:rsidP="00B341C5">
            <w:pPr>
              <w:pStyle w:val="BMSBodyText"/>
              <w:rPr>
                <w:b/>
              </w:rPr>
            </w:pPr>
            <w:r>
              <w:rPr>
                <w:b/>
              </w:rPr>
              <w:t>Surface Water Drains</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91" w14:textId="77777777" w:rsidR="00E84CB3" w:rsidRPr="00E84CB3" w:rsidRDefault="00E84CB3" w:rsidP="00E84CB3">
            <w:pPr>
              <w:pStyle w:val="BMSBodyText"/>
              <w:jc w:val="both"/>
            </w:pPr>
            <w:r>
              <w:t>D</w:t>
            </w:r>
            <w:r w:rsidRPr="00E84CB3">
              <w:t>esigned to carry only uncontaminated rainwater, as it will lead directly to a local river, stream or soakaway.</w:t>
            </w:r>
          </w:p>
          <w:p w14:paraId="4560EB92" w14:textId="77777777" w:rsidR="00E84CB3" w:rsidRPr="00E84CB3" w:rsidRDefault="00E84CB3" w:rsidP="00E84CB3">
            <w:pPr>
              <w:pStyle w:val="BMSBodyText"/>
              <w:jc w:val="both"/>
              <w:rPr>
                <w:b/>
              </w:rPr>
            </w:pPr>
          </w:p>
        </w:tc>
      </w:tr>
      <w:tr w:rsidR="00E84CB3" w:rsidRPr="0055220D" w14:paraId="4560EB96" w14:textId="77777777" w:rsidTr="00E84CB3">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94" w14:textId="77777777" w:rsidR="00E84CB3" w:rsidRDefault="00E84CB3" w:rsidP="00B341C5">
            <w:pPr>
              <w:pStyle w:val="BMSBodyText"/>
              <w:rPr>
                <w:b/>
              </w:rPr>
            </w:pPr>
            <w:r>
              <w:rPr>
                <w:b/>
              </w:rPr>
              <w:t>Underground Storage Tank (UST)</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0EB95" w14:textId="77777777" w:rsidR="00E84CB3" w:rsidRPr="00E84CB3" w:rsidRDefault="00E84CB3" w:rsidP="00E84CB3">
            <w:pPr>
              <w:pStyle w:val="BMSBodyText"/>
              <w:jc w:val="both"/>
            </w:pPr>
            <w:proofErr w:type="gramStart"/>
            <w:r>
              <w:t>A</w:t>
            </w:r>
            <w:r w:rsidR="00190E4B">
              <w:t>n oil storage tank,</w:t>
            </w:r>
            <w:proofErr w:type="gramEnd"/>
            <w:r w:rsidR="00190E4B">
              <w:t xml:space="preserve"> </w:t>
            </w:r>
            <w:r w:rsidRPr="00E84CB3">
              <w:t>associated underground pipework and ancillary equipment that is completely or partially below ground level. This also includes above ground tanks that are covered with earth or containers located in basements where the base sides</w:t>
            </w:r>
            <w:r>
              <w:t xml:space="preserve"> of the tank cannot be inspected</w:t>
            </w:r>
          </w:p>
        </w:tc>
      </w:tr>
    </w:tbl>
    <w:p w14:paraId="4560EB97" w14:textId="77777777" w:rsidR="00E84CB3" w:rsidRPr="00E84CB3" w:rsidRDefault="00E84CB3" w:rsidP="00E84CB3">
      <w:pPr>
        <w:pStyle w:val="BMSBodyText"/>
        <w:jc w:val="both"/>
      </w:pPr>
    </w:p>
    <w:p w14:paraId="4560EB98" w14:textId="77777777" w:rsidR="00E84CB3" w:rsidRPr="00E84CB3" w:rsidRDefault="00E84CB3" w:rsidP="00F64AE5">
      <w:pPr>
        <w:pStyle w:val="BMSBodyText"/>
        <w:jc w:val="both"/>
      </w:pPr>
    </w:p>
    <w:p w14:paraId="4560EB99" w14:textId="77777777" w:rsidR="006F1153" w:rsidRDefault="00F64AE5" w:rsidP="00F64AE5">
      <w:pPr>
        <w:spacing w:after="0"/>
        <w:jc w:val="both"/>
        <w:rPr>
          <w:rFonts w:cs="Arial"/>
          <w:b/>
        </w:rPr>
      </w:pPr>
      <w:r w:rsidRPr="00F64AE5">
        <w:rPr>
          <w:rFonts w:cs="Arial"/>
          <w:b/>
        </w:rPr>
        <w:t>Leg</w:t>
      </w:r>
      <w:r w:rsidR="00323906" w:rsidRPr="00F64AE5">
        <w:rPr>
          <w:rFonts w:cs="Arial"/>
          <w:b/>
        </w:rPr>
        <w:t>islation and Regulation</w:t>
      </w:r>
    </w:p>
    <w:p w14:paraId="4560EB9A" w14:textId="77777777" w:rsidR="00877A62" w:rsidRPr="00F64AE5" w:rsidRDefault="00877A62" w:rsidP="00F64AE5">
      <w:pPr>
        <w:spacing w:after="0"/>
        <w:jc w:val="both"/>
        <w:rPr>
          <w:rFonts w:cs="Arial"/>
          <w:b/>
        </w:rPr>
      </w:pPr>
    </w:p>
    <w:p w14:paraId="4560EB9B" w14:textId="77777777" w:rsidR="006A40B6" w:rsidRDefault="004D628A">
      <w:pPr>
        <w:spacing w:after="0"/>
        <w:jc w:val="both"/>
        <w:rPr>
          <w:b/>
          <w:color w:val="00B050"/>
        </w:rPr>
      </w:pPr>
      <w:r w:rsidRPr="00877A62">
        <w:rPr>
          <w:u w:val="single"/>
        </w:rPr>
        <w:t>England and Wales</w:t>
      </w:r>
      <w:r w:rsidR="00471993">
        <w:t xml:space="preserve"> </w:t>
      </w:r>
      <w:r w:rsidR="00471993" w:rsidRPr="00194624">
        <w:rPr>
          <w:b/>
          <w:color w:val="FF0000"/>
        </w:rPr>
        <w:t xml:space="preserve">(EN) </w:t>
      </w:r>
      <w:r w:rsidR="00471993" w:rsidRPr="00194624">
        <w:rPr>
          <w:b/>
          <w:color w:val="00B050"/>
        </w:rPr>
        <w:t>(W)</w:t>
      </w:r>
    </w:p>
    <w:p w14:paraId="4560EB9C" w14:textId="77777777" w:rsidR="002C11CA" w:rsidRDefault="006A40B6">
      <w:pPr>
        <w:spacing w:after="0"/>
        <w:jc w:val="both"/>
        <w:rPr>
          <w:rFonts w:cs="Arial"/>
        </w:rPr>
      </w:pPr>
      <w:r>
        <w:t>U</w:t>
      </w:r>
      <w:r w:rsidR="004D628A">
        <w:t xml:space="preserve">nder the Environmental Permitting (England and Wales) Regulations </w:t>
      </w:r>
      <w:r w:rsidR="002C11CA">
        <w:t xml:space="preserve">2010 (as amended) </w:t>
      </w:r>
      <w:r w:rsidR="002C11CA" w:rsidRPr="002C11CA">
        <w:rPr>
          <w:rFonts w:cs="Arial"/>
        </w:rPr>
        <w:t>and the Water Resources Act 1991 (as amended), it is on offence to discharge polluting substances to controlled waters (surface water and groundwater) without prior approval from the relevant Regulators (Natural Resourc</w:t>
      </w:r>
      <w:r w:rsidR="00471993">
        <w:rPr>
          <w:rFonts w:cs="Arial"/>
        </w:rPr>
        <w:t xml:space="preserve">es Wales, </w:t>
      </w:r>
      <w:r w:rsidR="007F625B">
        <w:rPr>
          <w:rFonts w:cs="Arial"/>
        </w:rPr>
        <w:t>Environment Agency</w:t>
      </w:r>
      <w:r w:rsidR="00471993">
        <w:rPr>
          <w:rFonts w:cs="Arial"/>
        </w:rPr>
        <w:t xml:space="preserve"> and Sewerage Undertakers</w:t>
      </w:r>
      <w:r w:rsidR="007F625B">
        <w:rPr>
          <w:rFonts w:cs="Arial"/>
        </w:rPr>
        <w:t>).</w:t>
      </w:r>
    </w:p>
    <w:p w14:paraId="4560EB9D" w14:textId="77777777" w:rsidR="00CD144C" w:rsidRDefault="00CD144C">
      <w:pPr>
        <w:spacing w:after="0"/>
        <w:jc w:val="both"/>
        <w:rPr>
          <w:rFonts w:cs="Arial"/>
        </w:rPr>
      </w:pPr>
    </w:p>
    <w:p w14:paraId="4560EB9E" w14:textId="77777777" w:rsidR="00CD144C" w:rsidRDefault="00DE6D82">
      <w:pPr>
        <w:spacing w:after="0"/>
        <w:jc w:val="both"/>
        <w:rPr>
          <w:rFonts w:cs="Arial"/>
        </w:rPr>
      </w:pPr>
      <w:r>
        <w:rPr>
          <w:rFonts w:cs="Arial"/>
        </w:rPr>
        <w:t xml:space="preserve">Oil stored in containers with a capacity of more than 200 </w:t>
      </w:r>
      <w:r w:rsidRPr="00DE6D82">
        <w:rPr>
          <w:rFonts w:cs="Arial"/>
        </w:rPr>
        <w:t>litres</w:t>
      </w:r>
      <w:r>
        <w:rPr>
          <w:rFonts w:cs="Arial"/>
        </w:rPr>
        <w:t xml:space="preserve"> </w:t>
      </w:r>
      <w:r w:rsidR="00CD144C">
        <w:rPr>
          <w:rFonts w:cs="Arial"/>
        </w:rPr>
        <w:t>must be stored in line with the:</w:t>
      </w:r>
    </w:p>
    <w:p w14:paraId="4560EB9F" w14:textId="77777777" w:rsidR="00CD144C" w:rsidRPr="00CD144C" w:rsidRDefault="00CD144C" w:rsidP="000B4042">
      <w:pPr>
        <w:pStyle w:val="ListParagraph"/>
        <w:numPr>
          <w:ilvl w:val="0"/>
          <w:numId w:val="2"/>
        </w:numPr>
        <w:spacing w:after="0"/>
        <w:jc w:val="both"/>
        <w:rPr>
          <w:rFonts w:ascii="Arial" w:hAnsi="Arial" w:cs="Arial"/>
        </w:rPr>
      </w:pPr>
      <w:r w:rsidRPr="00CD144C">
        <w:rPr>
          <w:rFonts w:ascii="Arial" w:hAnsi="Arial" w:cs="Arial"/>
        </w:rPr>
        <w:t>Control of Pollution (Oil Storage) (England) Regulations 2001 as amended</w:t>
      </w:r>
      <w:r w:rsidR="00877A62">
        <w:rPr>
          <w:rFonts w:ascii="Arial" w:hAnsi="Arial" w:cs="Arial"/>
        </w:rPr>
        <w:t>.</w:t>
      </w:r>
      <w:r w:rsidRPr="00CD144C">
        <w:rPr>
          <w:rFonts w:ascii="Arial" w:hAnsi="Arial" w:cs="Arial"/>
        </w:rPr>
        <w:t xml:space="preserve"> </w:t>
      </w:r>
    </w:p>
    <w:p w14:paraId="4560EBA0" w14:textId="77777777" w:rsidR="00CD144C" w:rsidRPr="00CD144C" w:rsidRDefault="00CD144C" w:rsidP="000B4042">
      <w:pPr>
        <w:pStyle w:val="ListParagraph"/>
        <w:numPr>
          <w:ilvl w:val="0"/>
          <w:numId w:val="2"/>
        </w:numPr>
        <w:spacing w:after="0"/>
        <w:jc w:val="both"/>
        <w:rPr>
          <w:rFonts w:ascii="Arial" w:hAnsi="Arial" w:cs="Arial"/>
        </w:rPr>
      </w:pPr>
      <w:r w:rsidRPr="00CD144C">
        <w:rPr>
          <w:rFonts w:ascii="Arial" w:hAnsi="Arial" w:cs="Arial"/>
        </w:rPr>
        <w:t>Water Resources (Control of Pollution) (</w:t>
      </w:r>
      <w:r w:rsidR="00DE6D82">
        <w:rPr>
          <w:rFonts w:ascii="Arial" w:hAnsi="Arial" w:cs="Arial"/>
        </w:rPr>
        <w:t>O</w:t>
      </w:r>
      <w:r w:rsidRPr="00CD144C">
        <w:rPr>
          <w:rFonts w:ascii="Arial" w:hAnsi="Arial" w:cs="Arial"/>
        </w:rPr>
        <w:t>il Storage) (Wales) Regulations 2016.</w:t>
      </w:r>
    </w:p>
    <w:p w14:paraId="4560EBA1" w14:textId="77777777" w:rsidR="002C11CA" w:rsidRDefault="002C11CA">
      <w:pPr>
        <w:spacing w:after="0"/>
        <w:jc w:val="both"/>
        <w:rPr>
          <w:rFonts w:cs="Arial"/>
        </w:rPr>
      </w:pPr>
    </w:p>
    <w:p w14:paraId="4560EBA2" w14:textId="77777777" w:rsidR="00314987" w:rsidRDefault="00314987">
      <w:pPr>
        <w:spacing w:after="0"/>
        <w:jc w:val="both"/>
        <w:rPr>
          <w:rFonts w:cs="Arial"/>
          <w:u w:val="single"/>
        </w:rPr>
      </w:pPr>
    </w:p>
    <w:p w14:paraId="4560EBA3" w14:textId="77777777" w:rsidR="006A40B6" w:rsidRDefault="002C11CA">
      <w:pPr>
        <w:spacing w:after="0"/>
        <w:jc w:val="both"/>
        <w:rPr>
          <w:b/>
          <w:color w:val="00B050"/>
        </w:rPr>
      </w:pPr>
      <w:r w:rsidRPr="00877A62">
        <w:rPr>
          <w:rFonts w:cs="Arial"/>
          <w:u w:val="single"/>
        </w:rPr>
        <w:lastRenderedPageBreak/>
        <w:t>Scotland</w:t>
      </w:r>
      <w:r w:rsidR="00471993">
        <w:rPr>
          <w:rFonts w:cs="Arial"/>
        </w:rPr>
        <w:t xml:space="preserve"> </w:t>
      </w:r>
      <w:r w:rsidR="00471993" w:rsidRPr="00194624">
        <w:rPr>
          <w:b/>
          <w:color w:val="548DD4" w:themeColor="text2" w:themeTint="99"/>
        </w:rPr>
        <w:t>(S)</w:t>
      </w:r>
    </w:p>
    <w:p w14:paraId="4560EBA4" w14:textId="77777777" w:rsidR="002C11CA" w:rsidRDefault="006A40B6">
      <w:pPr>
        <w:spacing w:after="0"/>
        <w:jc w:val="both"/>
        <w:rPr>
          <w:rFonts w:cs="Arial"/>
        </w:rPr>
      </w:pPr>
      <w:r w:rsidRPr="006A40B6">
        <w:t>U</w:t>
      </w:r>
      <w:r w:rsidR="002C11CA">
        <w:rPr>
          <w:rFonts w:cs="Arial"/>
        </w:rPr>
        <w:t xml:space="preserve">nder the </w:t>
      </w:r>
      <w:r w:rsidR="007F625B">
        <w:rPr>
          <w:rFonts w:cs="Arial"/>
        </w:rPr>
        <w:t>Water Environment (Controlled Activities) Regulations 2011 (as amended)</w:t>
      </w:r>
      <w:r w:rsidR="00471993">
        <w:rPr>
          <w:rFonts w:cs="Arial"/>
        </w:rPr>
        <w:t xml:space="preserve"> and the Water Resources (Scotland) Act 2013</w:t>
      </w:r>
      <w:r w:rsidR="007F625B">
        <w:rPr>
          <w:rFonts w:cs="Arial"/>
        </w:rPr>
        <w:t xml:space="preserve"> it is an offence to </w:t>
      </w:r>
      <w:r w:rsidR="007F625B" w:rsidRPr="002C11CA">
        <w:rPr>
          <w:rFonts w:cs="Arial"/>
        </w:rPr>
        <w:t>discharge polluting substances to controlled waters (surface water and groundwater) without prior approval from the relevant Regulator (</w:t>
      </w:r>
      <w:r w:rsidR="007F625B">
        <w:rPr>
          <w:rFonts w:cs="Arial"/>
        </w:rPr>
        <w:t>Scottish Environment Protection Agency</w:t>
      </w:r>
      <w:r w:rsidR="00471993">
        <w:rPr>
          <w:rFonts w:cs="Arial"/>
        </w:rPr>
        <w:t xml:space="preserve"> and Scottish Water</w:t>
      </w:r>
      <w:r w:rsidR="007F625B">
        <w:rPr>
          <w:rFonts w:cs="Arial"/>
        </w:rPr>
        <w:t>).</w:t>
      </w:r>
    </w:p>
    <w:p w14:paraId="4560EBA5" w14:textId="77777777" w:rsidR="00CD144C" w:rsidRDefault="00CD144C">
      <w:pPr>
        <w:spacing w:after="0"/>
        <w:jc w:val="both"/>
        <w:rPr>
          <w:rFonts w:cs="Arial"/>
        </w:rPr>
      </w:pPr>
    </w:p>
    <w:p w14:paraId="649080EE" w14:textId="558E9A26" w:rsidR="005A2E92" w:rsidRDefault="00DE6D82">
      <w:pPr>
        <w:spacing w:after="0"/>
        <w:jc w:val="both"/>
        <w:rPr>
          <w:rFonts w:cs="Arial"/>
        </w:rPr>
      </w:pPr>
      <w:r>
        <w:rPr>
          <w:rFonts w:cs="Arial"/>
        </w:rPr>
        <w:t xml:space="preserve">Oil stored in containers with a capacity of more than 200 </w:t>
      </w:r>
      <w:r w:rsidRPr="00DE6D82">
        <w:rPr>
          <w:rFonts w:cs="Arial"/>
        </w:rPr>
        <w:t>litres</w:t>
      </w:r>
      <w:r>
        <w:rPr>
          <w:rFonts w:cs="Arial"/>
        </w:rPr>
        <w:t xml:space="preserve"> must be stored in line with </w:t>
      </w:r>
      <w:r w:rsidR="005A2E92">
        <w:rPr>
          <w:rFonts w:cs="Arial"/>
        </w:rPr>
        <w:t xml:space="preserve">the </w:t>
      </w:r>
      <w:r w:rsidR="005A2E92" w:rsidRPr="005A2E92">
        <w:rPr>
          <w:rFonts w:cs="Arial"/>
        </w:rPr>
        <w:t>Water Environment (Controlled Activities) (Scotland) Regulations</w:t>
      </w:r>
      <w:r w:rsidR="005A2E92">
        <w:rPr>
          <w:rFonts w:cs="Arial"/>
        </w:rPr>
        <w:t xml:space="preserve"> 2011 (as amended).</w:t>
      </w:r>
      <w:r w:rsidR="00C17D31">
        <w:rPr>
          <w:rFonts w:cs="Arial"/>
        </w:rPr>
        <w:t xml:space="preserve">  Full requirements </w:t>
      </w:r>
      <w:r w:rsidR="00C17D31" w:rsidRPr="00C17D31">
        <w:rPr>
          <w:rFonts w:cs="Arial"/>
        </w:rPr>
        <w:t>are specified in General Binding Rules (GBRs) 26, 27 and 28</w:t>
      </w:r>
      <w:r w:rsidR="00C17D31">
        <w:rPr>
          <w:rFonts w:cs="Arial"/>
        </w:rPr>
        <w:t xml:space="preserve"> of the regulations and can be found in </w:t>
      </w:r>
      <w:hyperlink r:id="rId12" w:history="1">
        <w:r w:rsidR="00C17D31" w:rsidRPr="00C17D31">
          <w:rPr>
            <w:rStyle w:val="Hyperlink"/>
            <w:rFonts w:cs="Arial"/>
          </w:rPr>
          <w:t>the CAR practical guide</w:t>
        </w:r>
      </w:hyperlink>
      <w:r w:rsidR="00C17D31">
        <w:rPr>
          <w:rFonts w:cs="Arial"/>
        </w:rPr>
        <w:t>.</w:t>
      </w:r>
    </w:p>
    <w:p w14:paraId="4560EBA7" w14:textId="2E82FF45" w:rsidR="00471993" w:rsidRDefault="00471993">
      <w:pPr>
        <w:spacing w:after="0"/>
        <w:jc w:val="both"/>
        <w:rPr>
          <w:rFonts w:cs="Arial"/>
        </w:rPr>
      </w:pPr>
    </w:p>
    <w:p w14:paraId="4560EBA8" w14:textId="77777777" w:rsidR="006A40B6" w:rsidRDefault="00471993">
      <w:pPr>
        <w:spacing w:after="0"/>
        <w:jc w:val="both"/>
        <w:rPr>
          <w:rFonts w:cs="Arial"/>
        </w:rPr>
      </w:pPr>
      <w:r w:rsidRPr="00877A62">
        <w:rPr>
          <w:rFonts w:cs="Arial"/>
          <w:u w:val="single"/>
        </w:rPr>
        <w:t>Northern Ireland</w:t>
      </w:r>
      <w:r>
        <w:rPr>
          <w:rFonts w:cs="Arial"/>
        </w:rPr>
        <w:t xml:space="preserve"> </w:t>
      </w:r>
      <w:r w:rsidRPr="00194624">
        <w:rPr>
          <w:b/>
          <w:color w:val="E36C0A" w:themeColor="accent6" w:themeShade="BF"/>
        </w:rPr>
        <w:t>(NI)</w:t>
      </w:r>
    </w:p>
    <w:p w14:paraId="4560EBA9" w14:textId="77777777" w:rsidR="00FB745A" w:rsidRDefault="006A40B6">
      <w:pPr>
        <w:spacing w:after="0"/>
        <w:jc w:val="both"/>
        <w:rPr>
          <w:rFonts w:cs="Arial"/>
        </w:rPr>
      </w:pPr>
      <w:r>
        <w:rPr>
          <w:rFonts w:cs="Arial"/>
        </w:rPr>
        <w:t>U</w:t>
      </w:r>
      <w:r w:rsidR="008719B5">
        <w:rPr>
          <w:rFonts w:cs="Arial"/>
        </w:rPr>
        <w:t>nder the Water (Northern Ireland) Order 1999 (as amended) it is an offence to</w:t>
      </w:r>
      <w:r w:rsidR="00FB745A">
        <w:rPr>
          <w:rFonts w:cs="Arial"/>
        </w:rPr>
        <w:t xml:space="preserve"> cause pollution of a waterway or groundwater. </w:t>
      </w:r>
    </w:p>
    <w:p w14:paraId="4560EBAA" w14:textId="77777777" w:rsidR="00CD144C" w:rsidRDefault="00CD144C">
      <w:pPr>
        <w:spacing w:after="0"/>
        <w:jc w:val="both"/>
        <w:rPr>
          <w:rFonts w:cs="Arial"/>
        </w:rPr>
      </w:pPr>
    </w:p>
    <w:p w14:paraId="4560EBAB" w14:textId="77777777" w:rsidR="00CD144C" w:rsidRDefault="00DE6D82" w:rsidP="00CD144C">
      <w:pPr>
        <w:spacing w:after="0"/>
        <w:jc w:val="both"/>
        <w:rPr>
          <w:rFonts w:cs="Arial"/>
        </w:rPr>
      </w:pPr>
      <w:r>
        <w:rPr>
          <w:rFonts w:cs="Arial"/>
        </w:rPr>
        <w:t xml:space="preserve">Oil stored in containers with a capacity of more than 200 </w:t>
      </w:r>
      <w:r w:rsidRPr="00DE6D82">
        <w:rPr>
          <w:rFonts w:cs="Arial"/>
        </w:rPr>
        <w:t>litres</w:t>
      </w:r>
      <w:r>
        <w:rPr>
          <w:rFonts w:cs="Arial"/>
        </w:rPr>
        <w:t xml:space="preserve"> must be stored in line with the </w:t>
      </w:r>
      <w:r w:rsidR="00CD144C" w:rsidRPr="00CD144C">
        <w:rPr>
          <w:rFonts w:cs="Arial"/>
        </w:rPr>
        <w:t>Control of Pollution (Oil Storage) (Northern Ireland) Regulations 2010</w:t>
      </w:r>
      <w:r w:rsidR="00CD144C">
        <w:rPr>
          <w:rFonts w:cs="Arial"/>
        </w:rPr>
        <w:t xml:space="preserve"> (as amended).</w:t>
      </w:r>
    </w:p>
    <w:p w14:paraId="4560EBAC" w14:textId="77777777" w:rsidR="00CD144C" w:rsidRDefault="00CD144C" w:rsidP="00CD144C">
      <w:pPr>
        <w:spacing w:after="0"/>
        <w:jc w:val="both"/>
        <w:rPr>
          <w:rFonts w:cs="Arial"/>
        </w:rPr>
      </w:pPr>
    </w:p>
    <w:p w14:paraId="4560EBAD" w14:textId="77777777" w:rsidR="000C58F6" w:rsidRDefault="000C58F6" w:rsidP="00F64AE5">
      <w:pPr>
        <w:pStyle w:val="BMSBodyText"/>
        <w:spacing w:before="0" w:after="0"/>
        <w:jc w:val="both"/>
        <w:rPr>
          <w:rFonts w:eastAsiaTheme="minorEastAsia" w:cstheme="minorBidi"/>
          <w:b/>
          <w:color w:val="000000" w:themeColor="text1"/>
          <w:lang w:val="en-US" w:eastAsia="zh-CN"/>
        </w:rPr>
      </w:pPr>
    </w:p>
    <w:p w14:paraId="4560EBAE" w14:textId="77777777" w:rsidR="00F64AE5" w:rsidRDefault="007F4226" w:rsidP="00F64AE5">
      <w:pPr>
        <w:pStyle w:val="BMSBodyText"/>
        <w:spacing w:before="0" w:after="0"/>
        <w:jc w:val="both"/>
        <w:rPr>
          <w:rFonts w:eastAsiaTheme="minorEastAsia" w:cstheme="minorBidi"/>
          <w:b/>
          <w:color w:val="000000" w:themeColor="text1"/>
          <w:lang w:val="en-US" w:eastAsia="zh-CN"/>
        </w:rPr>
      </w:pPr>
      <w:r w:rsidRPr="007F4226">
        <w:rPr>
          <w:rFonts w:eastAsiaTheme="minorEastAsia" w:cstheme="minorBidi"/>
          <w:b/>
          <w:color w:val="000000" w:themeColor="text1"/>
          <w:lang w:val="en-US" w:eastAsia="zh-CN"/>
        </w:rPr>
        <w:t>General Requirements</w:t>
      </w:r>
      <w:r>
        <w:rPr>
          <w:rFonts w:eastAsiaTheme="minorEastAsia" w:cstheme="minorBidi"/>
          <w:b/>
          <w:color w:val="000000" w:themeColor="text1"/>
          <w:lang w:val="en-US" w:eastAsia="zh-CN"/>
        </w:rPr>
        <w:t xml:space="preserve"> – storage of liquids</w:t>
      </w:r>
    </w:p>
    <w:p w14:paraId="4560EBAF" w14:textId="0427E4C2" w:rsidR="00DF50C6" w:rsidRDefault="00DF50C6" w:rsidP="007F4226">
      <w:pPr>
        <w:pStyle w:val="BMSBodyText"/>
        <w:spacing w:before="0" w:after="0"/>
        <w:jc w:val="both"/>
      </w:pPr>
      <w:r>
        <w:t xml:space="preserve">All substances hazardous to health will be managed as set out in </w:t>
      </w:r>
      <w:hyperlink r:id="rId13" w:history="1">
        <w:r w:rsidRPr="00D92266">
          <w:rPr>
            <w:rStyle w:val="Hyperlink"/>
          </w:rPr>
          <w:t>HSF-PR-0021</w:t>
        </w:r>
      </w:hyperlink>
      <w:r w:rsidRPr="00D92266">
        <w:t xml:space="preserve"> Control of Substances Hazardous to Health</w:t>
      </w:r>
      <w:r>
        <w:t>.</w:t>
      </w:r>
    </w:p>
    <w:p w14:paraId="4560EBB0" w14:textId="77777777" w:rsidR="007F4226" w:rsidRDefault="007F4226" w:rsidP="007F4226">
      <w:pPr>
        <w:pStyle w:val="BMSBodyText"/>
        <w:spacing w:before="0" w:after="0"/>
        <w:jc w:val="both"/>
      </w:pPr>
    </w:p>
    <w:p w14:paraId="4560EBB1" w14:textId="77777777" w:rsidR="007F4226" w:rsidRDefault="007F4226" w:rsidP="007F4226">
      <w:pPr>
        <w:pStyle w:val="BMSBodyText"/>
        <w:spacing w:before="0" w:after="0"/>
        <w:jc w:val="both"/>
      </w:pPr>
      <w:r>
        <w:t xml:space="preserve">Containers of oils, chemicals and hazardous liquids must be of </w:t>
      </w:r>
      <w:proofErr w:type="gramStart"/>
      <w:r>
        <w:t>sufficient</w:t>
      </w:r>
      <w:proofErr w:type="gramEnd"/>
      <w:r>
        <w:t xml:space="preserve"> strength and structural integrity to ensure that they are unlikely to leak or burst during ordinary use.</w:t>
      </w:r>
    </w:p>
    <w:p w14:paraId="4560EBB2" w14:textId="77777777" w:rsidR="007F4226" w:rsidRDefault="007F4226" w:rsidP="007F4226">
      <w:pPr>
        <w:pStyle w:val="BMSBodyText"/>
        <w:spacing w:before="0" w:after="0"/>
        <w:jc w:val="both"/>
      </w:pPr>
    </w:p>
    <w:p w14:paraId="4560EBB3" w14:textId="77777777" w:rsidR="007F4226" w:rsidRDefault="007F4226" w:rsidP="007F4226">
      <w:pPr>
        <w:pStyle w:val="BMSBodyText"/>
        <w:spacing w:before="0" w:after="0"/>
        <w:jc w:val="both"/>
      </w:pPr>
      <w:r>
        <w:t>Containers must be stored within a secondary containment system designed to catch leaks or spillages from the primary container.  Secondary containment systems may include drip trays, masonry bunds</w:t>
      </w:r>
      <w:r w:rsidR="00141681">
        <w:t>, pallet bunds and plant nappies etc.</w:t>
      </w:r>
      <w:r w:rsidR="00846390">
        <w:t xml:space="preserve"> Plant nappies should only be used as a temporary solution.</w:t>
      </w:r>
    </w:p>
    <w:p w14:paraId="4560EBB4" w14:textId="77777777" w:rsidR="00314987" w:rsidRDefault="00314987" w:rsidP="007F4226">
      <w:pPr>
        <w:pStyle w:val="BMSBodyText"/>
        <w:spacing w:before="0" w:after="0"/>
        <w:jc w:val="both"/>
      </w:pPr>
    </w:p>
    <w:p w14:paraId="4560EBB5" w14:textId="77777777" w:rsidR="00314987" w:rsidRDefault="00314987" w:rsidP="007F4226">
      <w:pPr>
        <w:pStyle w:val="BMSBodyText"/>
        <w:spacing w:before="0" w:after="0"/>
        <w:jc w:val="both"/>
      </w:pPr>
      <w:r>
        <w:t>It is best practice to cover storage areas to prevent rain water entering bunds, becoming contaminated and needing to be disposed of as hazardous waste (special waste in Scotland).</w:t>
      </w:r>
    </w:p>
    <w:p w14:paraId="4560EBB6" w14:textId="77777777" w:rsidR="00141681" w:rsidRDefault="00141681" w:rsidP="007F4226">
      <w:pPr>
        <w:pStyle w:val="BMSBodyText"/>
        <w:spacing w:before="0" w:after="0"/>
        <w:jc w:val="both"/>
      </w:pPr>
    </w:p>
    <w:p w14:paraId="4560EBB7" w14:textId="4BBE9E75" w:rsidR="00141681" w:rsidRDefault="00141681" w:rsidP="00141681">
      <w:pPr>
        <w:pStyle w:val="BMSBodyText"/>
        <w:spacing w:before="0" w:after="0"/>
        <w:jc w:val="both"/>
      </w:pPr>
      <w:r>
        <w:t>Smaller quantities of liquid materials</w:t>
      </w:r>
      <w:r w:rsidR="00846390">
        <w:t xml:space="preserve"> (i.e. less than 200 litres)</w:t>
      </w:r>
      <w:r>
        <w:t xml:space="preserve">, for example paints, oils, solvents etc. should be stored securely and have some </w:t>
      </w:r>
      <w:r w:rsidR="00516934">
        <w:t xml:space="preserve">form </w:t>
      </w:r>
      <w:r>
        <w:t xml:space="preserve">of secondary containment </w:t>
      </w:r>
      <w:proofErr w:type="gramStart"/>
      <w:r>
        <w:t xml:space="preserve">provided </w:t>
      </w:r>
      <w:r w:rsidR="00846390">
        <w:t xml:space="preserve"> such</w:t>
      </w:r>
      <w:proofErr w:type="gramEnd"/>
      <w:r w:rsidR="00846390">
        <w:t xml:space="preserve"> as storage cupboard with an in-built tray to collect fluids</w:t>
      </w:r>
      <w:r>
        <w:t xml:space="preserve">. </w:t>
      </w:r>
      <w:r w:rsidR="008A421C">
        <w:t>W</w:t>
      </w:r>
      <w:r w:rsidR="008A421C" w:rsidRPr="008A421C">
        <w:t>hen multiple small containers</w:t>
      </w:r>
      <w:r w:rsidR="008A421C">
        <w:t xml:space="preserve"> are</w:t>
      </w:r>
      <w:r w:rsidR="008A421C" w:rsidRPr="008A421C">
        <w:t xml:space="preserve"> being stored together, the secondary containment must have the capacity to contain at least </w:t>
      </w:r>
      <w:r w:rsidR="008A421C">
        <w:t xml:space="preserve">110% of </w:t>
      </w:r>
      <w:r w:rsidR="008A421C" w:rsidRPr="008A421C">
        <w:t>the content</w:t>
      </w:r>
      <w:r w:rsidR="008A421C">
        <w:t>s</w:t>
      </w:r>
      <w:r w:rsidR="008A421C" w:rsidRPr="008A421C">
        <w:t xml:space="preserve"> of the largest container.</w:t>
      </w:r>
      <w:r w:rsidR="008A421C">
        <w:t xml:space="preserve">  Lids should be securely replaced when the material is not in use.  </w:t>
      </w:r>
    </w:p>
    <w:p w14:paraId="4560EBB8" w14:textId="77777777" w:rsidR="007F4226" w:rsidRDefault="007F4226" w:rsidP="007F4226">
      <w:pPr>
        <w:pStyle w:val="BMSBodyText"/>
        <w:spacing w:before="0" w:after="0"/>
        <w:jc w:val="both"/>
      </w:pPr>
    </w:p>
    <w:p w14:paraId="4560EBB9" w14:textId="77777777" w:rsidR="007F4226" w:rsidRDefault="007F4226" w:rsidP="007F4226">
      <w:pPr>
        <w:pStyle w:val="BMSBodyText"/>
        <w:spacing w:before="0" w:after="0"/>
        <w:jc w:val="both"/>
      </w:pPr>
      <w:r>
        <w:t xml:space="preserve">Storage facilities should be sited away from areas where they may be prone to damage from vehicles or mobile plant and equipment.  Barriers may be erected to reduce the chances of any impact occurring. </w:t>
      </w:r>
    </w:p>
    <w:p w14:paraId="4560EBBA" w14:textId="77777777" w:rsidR="007F4226" w:rsidRPr="00226FEE" w:rsidRDefault="007F4226" w:rsidP="007F4226">
      <w:pPr>
        <w:pStyle w:val="BMSBodyText"/>
        <w:spacing w:before="0" w:after="0"/>
        <w:jc w:val="both"/>
      </w:pPr>
    </w:p>
    <w:p w14:paraId="4560EBBB" w14:textId="77777777" w:rsidR="007F4226" w:rsidRPr="00226FEE" w:rsidRDefault="007F4226" w:rsidP="007F4226">
      <w:pPr>
        <w:pStyle w:val="BMSBodyText"/>
        <w:spacing w:before="0" w:after="0"/>
        <w:jc w:val="both"/>
      </w:pPr>
      <w:r w:rsidRPr="00226FEE">
        <w:t>Spill kits must be available at fuel and liquid storage areas</w:t>
      </w:r>
      <w:r w:rsidR="003B1172">
        <w:t xml:space="preserve"> and </w:t>
      </w:r>
      <w:r w:rsidR="003B7A23">
        <w:t>in construction</w:t>
      </w:r>
      <w:r w:rsidR="003B1172">
        <w:t xml:space="preserve"> vehicles</w:t>
      </w:r>
      <w:r w:rsidRPr="00226FEE">
        <w:t>.</w:t>
      </w:r>
      <w:r w:rsidR="00314987" w:rsidRPr="00226FEE">
        <w:t xml:space="preserve">  </w:t>
      </w:r>
      <w:r w:rsidR="00C45466" w:rsidRPr="00226FEE">
        <w:t>Spill kits range in size</w:t>
      </w:r>
      <w:r w:rsidR="003B1172">
        <w:t>.  T</w:t>
      </w:r>
      <w:r w:rsidR="00C45466" w:rsidRPr="00226FEE">
        <w:t>he</w:t>
      </w:r>
      <w:r w:rsidR="003B7A23">
        <w:t xml:space="preserve"> required</w:t>
      </w:r>
      <w:r w:rsidR="00C45466" w:rsidRPr="00226FEE">
        <w:t xml:space="preserve"> </w:t>
      </w:r>
      <w:r w:rsidR="003B7A23">
        <w:t>capacity</w:t>
      </w:r>
      <w:r w:rsidR="00C45466" w:rsidRPr="00226FEE">
        <w:t xml:space="preserve"> of </w:t>
      </w:r>
      <w:r w:rsidR="003B7A23">
        <w:t xml:space="preserve">a </w:t>
      </w:r>
      <w:r w:rsidR="00C45466" w:rsidRPr="00226FEE">
        <w:t xml:space="preserve">spill kit will be governed by the size of the spill which is likely to be encountered and other factors like the presence of drains. </w:t>
      </w:r>
      <w:r w:rsidR="00226FEE">
        <w:t xml:space="preserve"> The correct type of spill kit must also be selected e.g. for oil, chemical or</w:t>
      </w:r>
      <w:r w:rsidR="00226FEE" w:rsidRPr="00226FEE">
        <w:t xml:space="preserve"> general liquid spills</w:t>
      </w:r>
      <w:r w:rsidR="00226FEE">
        <w:t>.</w:t>
      </w:r>
      <w:r w:rsidR="00C45466" w:rsidRPr="00226FEE">
        <w:t xml:space="preserve"> A </w:t>
      </w:r>
      <w:proofErr w:type="gramStart"/>
      <w:r w:rsidR="00C45466" w:rsidRPr="00226FEE">
        <w:t>risk based</w:t>
      </w:r>
      <w:proofErr w:type="gramEnd"/>
      <w:r w:rsidR="00C45466" w:rsidRPr="00226FEE">
        <w:t xml:space="preserve"> assessment must be made when determining the </w:t>
      </w:r>
      <w:r w:rsidR="00C95F20">
        <w:t xml:space="preserve">type and </w:t>
      </w:r>
      <w:r w:rsidR="00C45466" w:rsidRPr="00226FEE">
        <w:t xml:space="preserve">size of the spill kit required. As a </w:t>
      </w:r>
      <w:r w:rsidR="00B825E1" w:rsidRPr="00226FEE">
        <w:t>guide</w:t>
      </w:r>
      <w:r w:rsidR="00C45466" w:rsidRPr="00226FEE">
        <w:t>, i</w:t>
      </w:r>
      <w:r w:rsidR="00314987" w:rsidRPr="00226FEE">
        <w:t xml:space="preserve">t is recommended that </w:t>
      </w:r>
      <w:r w:rsidR="00853F6E" w:rsidRPr="00226FEE">
        <w:t xml:space="preserve">the following </w:t>
      </w:r>
      <w:r w:rsidR="00226FEE">
        <w:t xml:space="preserve">size </w:t>
      </w:r>
      <w:r w:rsidR="00853F6E" w:rsidRPr="00226FEE">
        <w:t>spill kits are provided:</w:t>
      </w:r>
    </w:p>
    <w:p w14:paraId="4560EBBC" w14:textId="77777777" w:rsidR="00853F6E" w:rsidRPr="00226FEE" w:rsidRDefault="00C95F20" w:rsidP="00853F6E">
      <w:pPr>
        <w:pStyle w:val="BMSBodyText"/>
        <w:numPr>
          <w:ilvl w:val="0"/>
          <w:numId w:val="2"/>
        </w:numPr>
        <w:spacing w:before="0" w:after="0"/>
        <w:jc w:val="both"/>
      </w:pPr>
      <w:r>
        <w:t>All vans, construction vehicles and commercial fleet (</w:t>
      </w:r>
      <w:r w:rsidRPr="00226FEE">
        <w:t xml:space="preserve">including hired </w:t>
      </w:r>
      <w:proofErr w:type="gramStart"/>
      <w:r w:rsidRPr="00226FEE">
        <w:t>vehicles</w:t>
      </w:r>
      <w:r>
        <w:t xml:space="preserve">) </w:t>
      </w:r>
      <w:r w:rsidR="00853F6E" w:rsidRPr="00226FEE">
        <w:t xml:space="preserve"> –</w:t>
      </w:r>
      <w:proofErr w:type="gramEnd"/>
      <w:r w:rsidR="00853F6E" w:rsidRPr="00226FEE">
        <w:t xml:space="preserve"> </w:t>
      </w:r>
      <w:r w:rsidR="003B1172">
        <w:t>15</w:t>
      </w:r>
      <w:r w:rsidR="003B7A23">
        <w:t>+</w:t>
      </w:r>
      <w:r w:rsidR="00C45466" w:rsidRPr="00226FEE">
        <w:t xml:space="preserve"> litre spill kit</w:t>
      </w:r>
    </w:p>
    <w:p w14:paraId="4560EBBD" w14:textId="77777777" w:rsidR="00853F6E" w:rsidRDefault="00C45466" w:rsidP="00853F6E">
      <w:pPr>
        <w:pStyle w:val="BMSBodyText"/>
        <w:numPr>
          <w:ilvl w:val="0"/>
          <w:numId w:val="2"/>
        </w:numPr>
        <w:spacing w:before="0" w:after="0"/>
        <w:jc w:val="both"/>
      </w:pPr>
      <w:r w:rsidRPr="00226FEE">
        <w:t>Bulk fuel storage</w:t>
      </w:r>
      <w:r w:rsidR="00853F6E" w:rsidRPr="00226FEE">
        <w:t xml:space="preserve"> – </w:t>
      </w:r>
      <w:r w:rsidR="003B1172">
        <w:t>90+</w:t>
      </w:r>
      <w:r w:rsidRPr="00226FEE">
        <w:t xml:space="preserve"> litre spill kit (typically in a </w:t>
      </w:r>
      <w:r w:rsidR="003B7A23">
        <w:t xml:space="preserve">cylindrical bin or </w:t>
      </w:r>
      <w:r w:rsidRPr="00226FEE">
        <w:t>wheelie bin)</w:t>
      </w:r>
    </w:p>
    <w:p w14:paraId="4560EBBE" w14:textId="77777777" w:rsidR="00226FEE" w:rsidRDefault="00226FEE" w:rsidP="00853F6E">
      <w:pPr>
        <w:pStyle w:val="BMSBodyText"/>
        <w:numPr>
          <w:ilvl w:val="0"/>
          <w:numId w:val="2"/>
        </w:numPr>
        <w:spacing w:before="0" w:after="0"/>
        <w:jc w:val="both"/>
      </w:pPr>
      <w:r>
        <w:t xml:space="preserve">Smaller quantities of liquid materials (i.e. less than 200 litres) – </w:t>
      </w:r>
      <w:r w:rsidR="003B1172">
        <w:t>15</w:t>
      </w:r>
      <w:r>
        <w:t>-50 litre spill kit</w:t>
      </w:r>
    </w:p>
    <w:p w14:paraId="4560EBBF" w14:textId="77777777" w:rsidR="00DC1067" w:rsidRDefault="00DC1067" w:rsidP="007F4226">
      <w:pPr>
        <w:pStyle w:val="BMSBodyText"/>
        <w:spacing w:before="0" w:after="0"/>
        <w:jc w:val="both"/>
      </w:pPr>
    </w:p>
    <w:p w14:paraId="4560EBC0" w14:textId="77777777" w:rsidR="00DC1067" w:rsidRDefault="00DC1067" w:rsidP="007F4226">
      <w:pPr>
        <w:pStyle w:val="BMSBodyText"/>
        <w:spacing w:before="0" w:after="0"/>
        <w:jc w:val="both"/>
      </w:pPr>
      <w:r>
        <w:t xml:space="preserve">Measures must be taken to minimise the risk of vandalism and theft e.g. keeping fuel containers locked when not in use, </w:t>
      </w:r>
      <w:r w:rsidR="00A97363">
        <w:t xml:space="preserve">minimising the volume of fuel stored on site, placing </w:t>
      </w:r>
      <w:proofErr w:type="spellStart"/>
      <w:r w:rsidR="00A97363">
        <w:t>herras</w:t>
      </w:r>
      <w:proofErr w:type="spellEnd"/>
      <w:r w:rsidR="00A97363">
        <w:t xml:space="preserve"> fencing around fuel containers, use of CCTV and security personnel.</w:t>
      </w:r>
    </w:p>
    <w:p w14:paraId="4560EBC1" w14:textId="77777777" w:rsidR="00B825E1" w:rsidRDefault="00B825E1" w:rsidP="00F64AE5">
      <w:pPr>
        <w:pStyle w:val="BMSBodyText"/>
        <w:spacing w:before="0" w:after="0"/>
        <w:jc w:val="both"/>
        <w:rPr>
          <w:b/>
        </w:rPr>
      </w:pPr>
    </w:p>
    <w:p w14:paraId="4560EBC2" w14:textId="77777777" w:rsidR="0023172C" w:rsidRDefault="00CC2838" w:rsidP="00F64AE5">
      <w:pPr>
        <w:pStyle w:val="BMSBodyText"/>
        <w:spacing w:before="0" w:after="0"/>
        <w:jc w:val="both"/>
        <w:rPr>
          <w:b/>
        </w:rPr>
      </w:pPr>
      <w:r w:rsidRPr="00706427">
        <w:rPr>
          <w:b/>
        </w:rPr>
        <w:t xml:space="preserve">What </w:t>
      </w:r>
      <w:r w:rsidR="00946497" w:rsidRPr="00706427">
        <w:rPr>
          <w:b/>
        </w:rPr>
        <w:t>you</w:t>
      </w:r>
      <w:r w:rsidRPr="00706427">
        <w:rPr>
          <w:b/>
        </w:rPr>
        <w:t xml:space="preserve"> </w:t>
      </w:r>
      <w:r w:rsidR="00946497" w:rsidRPr="00706427">
        <w:rPr>
          <w:b/>
        </w:rPr>
        <w:t>need</w:t>
      </w:r>
      <w:r w:rsidR="00205996" w:rsidRPr="00706427">
        <w:rPr>
          <w:b/>
        </w:rPr>
        <w:t xml:space="preserve"> to do</w:t>
      </w:r>
      <w:r w:rsidR="007F4226">
        <w:rPr>
          <w:b/>
        </w:rPr>
        <w:t xml:space="preserve"> – storage of oil in containers with a storage capacity of over 200 litres</w:t>
      </w:r>
    </w:p>
    <w:p w14:paraId="4560EBC3" w14:textId="77777777" w:rsidR="00925FB6" w:rsidRDefault="00190E4B" w:rsidP="00F64AE5">
      <w:pPr>
        <w:pStyle w:val="BMSBodyText"/>
        <w:spacing w:before="0" w:after="0"/>
        <w:jc w:val="both"/>
      </w:pPr>
      <w:r>
        <w:t xml:space="preserve">In England, Northern Ireland, Scotland and Wales there are specific regulations which </w:t>
      </w:r>
      <w:r w:rsidRPr="00B341C5">
        <w:t>impose controls of equip</w:t>
      </w:r>
      <w:r>
        <w:t>ment used in the storage of oil</w:t>
      </w:r>
      <w:r w:rsidRPr="00B341C5">
        <w:t>.</w:t>
      </w:r>
      <w:r>
        <w:t xml:space="preserve">  These apply to any container with a storage capacity of over 200 litres.</w:t>
      </w:r>
    </w:p>
    <w:p w14:paraId="4560EBC4" w14:textId="77777777" w:rsidR="00190E4B" w:rsidRDefault="00190E4B" w:rsidP="00F64AE5">
      <w:pPr>
        <w:pStyle w:val="BMSBodyText"/>
        <w:spacing w:before="0" w:after="0"/>
        <w:jc w:val="both"/>
      </w:pPr>
    </w:p>
    <w:p w14:paraId="4560EBC5" w14:textId="77777777" w:rsidR="00FA6C57" w:rsidRDefault="00FA6C57" w:rsidP="00F64AE5">
      <w:pPr>
        <w:pStyle w:val="BMSBodyText"/>
        <w:spacing w:before="0" w:after="0"/>
        <w:jc w:val="both"/>
      </w:pPr>
      <w:r>
        <w:t>Storage containers include:</w:t>
      </w:r>
    </w:p>
    <w:p w14:paraId="4560EBC6" w14:textId="77777777" w:rsidR="00FA6C57" w:rsidRDefault="00FA6C57" w:rsidP="00F64AE5">
      <w:pPr>
        <w:pStyle w:val="BMSBodyText"/>
        <w:spacing w:before="0" w:after="0"/>
        <w:jc w:val="both"/>
      </w:pPr>
    </w:p>
    <w:p w14:paraId="4560EBC7" w14:textId="77777777" w:rsidR="00FA6C57" w:rsidRDefault="00FA6C57" w:rsidP="000B4042">
      <w:pPr>
        <w:pStyle w:val="BMSBodyText"/>
        <w:numPr>
          <w:ilvl w:val="0"/>
          <w:numId w:val="3"/>
        </w:numPr>
        <w:spacing w:before="0" w:after="0"/>
        <w:jc w:val="both"/>
      </w:pPr>
      <w:r>
        <w:t>Oil drums and fixed tanks</w:t>
      </w:r>
    </w:p>
    <w:p w14:paraId="4560EBC8" w14:textId="77777777" w:rsidR="00FA6C57" w:rsidRDefault="00FA6C57" w:rsidP="000B4042">
      <w:pPr>
        <w:pStyle w:val="BMSBodyText"/>
        <w:numPr>
          <w:ilvl w:val="0"/>
          <w:numId w:val="3"/>
        </w:numPr>
        <w:spacing w:before="0" w:after="0"/>
        <w:jc w:val="both"/>
      </w:pPr>
      <w:r>
        <w:t>Intermediate bulk containers (IBCs)</w:t>
      </w:r>
    </w:p>
    <w:p w14:paraId="4560EBC9" w14:textId="77777777" w:rsidR="00FA6C57" w:rsidRDefault="00FA6C57" w:rsidP="000B4042">
      <w:pPr>
        <w:pStyle w:val="BMSBodyText"/>
        <w:numPr>
          <w:ilvl w:val="0"/>
          <w:numId w:val="3"/>
        </w:numPr>
        <w:spacing w:before="0" w:after="0"/>
        <w:jc w:val="both"/>
      </w:pPr>
      <w:r>
        <w:t>Mobile bowsers – containers designed to store and dispose of oil that can be moved between locations but not under their own power</w:t>
      </w:r>
    </w:p>
    <w:p w14:paraId="4560EBCA" w14:textId="77777777" w:rsidR="00FA6C57" w:rsidRDefault="00FA6C57" w:rsidP="000B4042">
      <w:pPr>
        <w:pStyle w:val="BMSBodyText"/>
        <w:numPr>
          <w:ilvl w:val="0"/>
          <w:numId w:val="3"/>
        </w:numPr>
        <w:spacing w:before="0" w:after="0"/>
        <w:jc w:val="both"/>
      </w:pPr>
      <w:r>
        <w:t xml:space="preserve">Some types of generator and transformer.  The rules apply to any of the following generators or transformers that have a connected oil supply tank with a capacity </w:t>
      </w:r>
      <w:r w:rsidR="00D534C3">
        <w:t>of more than 200 litres</w:t>
      </w:r>
      <w:r>
        <w:t>:</w:t>
      </w:r>
    </w:p>
    <w:p w14:paraId="4560EBCB" w14:textId="77777777" w:rsidR="004500D3" w:rsidRDefault="004500D3" w:rsidP="000B4042">
      <w:pPr>
        <w:pStyle w:val="BMSBodyText"/>
        <w:numPr>
          <w:ilvl w:val="1"/>
          <w:numId w:val="3"/>
        </w:numPr>
        <w:spacing w:after="0"/>
        <w:jc w:val="both"/>
      </w:pPr>
      <w:r>
        <w:t xml:space="preserve">generators in daily use with a tank that supplies the generator where </w:t>
      </w:r>
      <w:proofErr w:type="gramStart"/>
      <w:r>
        <w:t>all of</w:t>
      </w:r>
      <w:proofErr w:type="gramEnd"/>
      <w:r>
        <w:t xml:space="preserve"> the oil from the tank isn’t used in 1 day</w:t>
      </w:r>
    </w:p>
    <w:p w14:paraId="4560EBCC" w14:textId="77777777" w:rsidR="004500D3" w:rsidRDefault="004500D3" w:rsidP="000B4042">
      <w:pPr>
        <w:pStyle w:val="BMSBodyText"/>
        <w:numPr>
          <w:ilvl w:val="1"/>
          <w:numId w:val="3"/>
        </w:numPr>
        <w:spacing w:after="0"/>
        <w:jc w:val="both"/>
      </w:pPr>
      <w:r>
        <w:t>‘stand-by’ generators, which are generators kept for emergency use</w:t>
      </w:r>
    </w:p>
    <w:p w14:paraId="4560EBCD" w14:textId="77777777" w:rsidR="004500D3" w:rsidRDefault="004500D3" w:rsidP="000B4042">
      <w:pPr>
        <w:pStyle w:val="BMSBodyText"/>
        <w:numPr>
          <w:ilvl w:val="1"/>
          <w:numId w:val="3"/>
        </w:numPr>
        <w:spacing w:after="0"/>
        <w:jc w:val="both"/>
      </w:pPr>
      <w:r>
        <w:t>transformer headers tanks that are connected to the transformer by a one-way feed pipe</w:t>
      </w:r>
    </w:p>
    <w:p w14:paraId="4560EBCE" w14:textId="77777777" w:rsidR="00FA6C57" w:rsidRDefault="00FA6C57" w:rsidP="004500D3">
      <w:pPr>
        <w:pStyle w:val="BMSBodyText"/>
        <w:spacing w:before="0" w:after="0"/>
        <w:jc w:val="both"/>
      </w:pPr>
    </w:p>
    <w:p w14:paraId="4560EBCF" w14:textId="77777777" w:rsidR="00482FE1" w:rsidRDefault="00925FB6" w:rsidP="004500D3">
      <w:pPr>
        <w:pStyle w:val="BMSBodyText"/>
        <w:spacing w:before="0" w:after="0"/>
        <w:jc w:val="both"/>
      </w:pPr>
      <w:r>
        <w:t xml:space="preserve">All bulk fuel must be stored within a mobile bowser or fixed tank that conforms to the Oil Storage Regulations for the relevant country.  </w:t>
      </w:r>
    </w:p>
    <w:p w14:paraId="4560EBD0" w14:textId="77777777" w:rsidR="00115076" w:rsidRDefault="00115076" w:rsidP="004500D3">
      <w:pPr>
        <w:pStyle w:val="BMSBodyText"/>
        <w:spacing w:before="0" w:after="0"/>
        <w:jc w:val="both"/>
      </w:pPr>
    </w:p>
    <w:p w14:paraId="4560EBD1" w14:textId="77777777" w:rsidR="00115076" w:rsidRDefault="00115076" w:rsidP="004500D3">
      <w:pPr>
        <w:pStyle w:val="BMSBodyText"/>
        <w:spacing w:before="0" w:after="0"/>
        <w:jc w:val="both"/>
      </w:pPr>
    </w:p>
    <w:p w14:paraId="4560EBD2" w14:textId="77777777" w:rsidR="00115076" w:rsidRPr="00877A62" w:rsidRDefault="00115076" w:rsidP="004500D3">
      <w:pPr>
        <w:pStyle w:val="BMSBodyText"/>
        <w:spacing w:before="0" w:after="0"/>
        <w:jc w:val="both"/>
        <w:rPr>
          <w:b/>
        </w:rPr>
      </w:pPr>
      <w:r w:rsidRPr="00877A62">
        <w:rPr>
          <w:b/>
        </w:rPr>
        <w:t>Design Standards for Containers</w:t>
      </w:r>
    </w:p>
    <w:p w14:paraId="4560EBD3" w14:textId="77777777" w:rsidR="00984A6B" w:rsidRDefault="00115076" w:rsidP="004500D3">
      <w:pPr>
        <w:pStyle w:val="BMSBodyText"/>
        <w:spacing w:before="0" w:after="0"/>
        <w:jc w:val="both"/>
        <w:rPr>
          <w:u w:val="single"/>
        </w:rPr>
      </w:pPr>
      <w:r>
        <w:t xml:space="preserve">Storage containers must be strong enough </w:t>
      </w:r>
      <w:r w:rsidR="00846390">
        <w:t xml:space="preserve">not </w:t>
      </w:r>
      <w:r>
        <w:t xml:space="preserve">to </w:t>
      </w:r>
      <w:r w:rsidR="00984A6B">
        <w:t xml:space="preserve">burst or leak in ordinary use.  There are recognised British Standard or trade association tank standards for different types of tank.  </w:t>
      </w:r>
      <w:r w:rsidR="00DA6D51">
        <w:t>For example:</w:t>
      </w:r>
    </w:p>
    <w:p w14:paraId="4560EBD4" w14:textId="77777777" w:rsidR="00984A6B" w:rsidRDefault="00984A6B" w:rsidP="004500D3">
      <w:pPr>
        <w:pStyle w:val="BMSBodyText"/>
        <w:spacing w:before="0" w:after="0"/>
        <w:jc w:val="both"/>
        <w:rPr>
          <w:u w:val="single"/>
        </w:rPr>
      </w:pPr>
    </w:p>
    <w:p w14:paraId="4560EBD5" w14:textId="77777777" w:rsidR="00115076" w:rsidRDefault="00115076" w:rsidP="004500D3">
      <w:pPr>
        <w:pStyle w:val="BMSBodyText"/>
        <w:spacing w:before="0" w:after="0"/>
        <w:jc w:val="both"/>
        <w:rPr>
          <w:u w:val="single"/>
        </w:rPr>
      </w:pPr>
      <w:r w:rsidRPr="00115076">
        <w:rPr>
          <w:u w:val="single"/>
        </w:rPr>
        <w:t>Fixed Tanks</w:t>
      </w:r>
    </w:p>
    <w:p w14:paraId="4560EBD6" w14:textId="77777777" w:rsidR="00115076" w:rsidRDefault="00115076" w:rsidP="004500D3">
      <w:pPr>
        <w:pStyle w:val="BMSBodyText"/>
        <w:spacing w:before="0" w:after="0"/>
        <w:jc w:val="both"/>
      </w:pPr>
      <w:r>
        <w:t>Fixed Tanks that meet the design standard are made to British Standard 5410 or:</w:t>
      </w:r>
    </w:p>
    <w:p w14:paraId="4560EBD7" w14:textId="77777777" w:rsidR="00115076" w:rsidRDefault="00115076" w:rsidP="00115076">
      <w:pPr>
        <w:pStyle w:val="BMSBodyText"/>
        <w:numPr>
          <w:ilvl w:val="0"/>
          <w:numId w:val="16"/>
        </w:numPr>
        <w:spacing w:after="0"/>
        <w:jc w:val="both"/>
      </w:pPr>
      <w:r>
        <w:t>Oil Firing Technical Association (O</w:t>
      </w:r>
      <w:r w:rsidR="00877A62">
        <w:t>FTEC) standard OST T100, if the</w:t>
      </w:r>
      <w:r>
        <w:t xml:space="preserve"> container is plastic</w:t>
      </w:r>
    </w:p>
    <w:p w14:paraId="4560EBD8" w14:textId="77777777" w:rsidR="00115076" w:rsidRDefault="00115076" w:rsidP="00115076">
      <w:pPr>
        <w:pStyle w:val="BMSBodyText"/>
        <w:numPr>
          <w:ilvl w:val="0"/>
          <w:numId w:val="16"/>
        </w:numPr>
        <w:spacing w:after="0"/>
        <w:jc w:val="both"/>
      </w:pPr>
      <w:r>
        <w:t>OFTEC standard OFS T200 or</w:t>
      </w:r>
      <w:r w:rsidR="00877A62">
        <w:t xml:space="preserve"> British Standard 799-5, if the</w:t>
      </w:r>
      <w:r>
        <w:t xml:space="preserve"> container is metal</w:t>
      </w:r>
    </w:p>
    <w:p w14:paraId="4560EBD9" w14:textId="77777777" w:rsidR="00115076" w:rsidRDefault="00115076" w:rsidP="00115076">
      <w:pPr>
        <w:pStyle w:val="BMSBodyText"/>
        <w:spacing w:after="0"/>
        <w:jc w:val="both"/>
      </w:pPr>
    </w:p>
    <w:p w14:paraId="4560EBDA" w14:textId="77777777" w:rsidR="00115076" w:rsidRPr="00115076" w:rsidRDefault="00115076" w:rsidP="00115076">
      <w:pPr>
        <w:pStyle w:val="BMSBodyText"/>
        <w:spacing w:after="0"/>
        <w:jc w:val="both"/>
        <w:rPr>
          <w:u w:val="single"/>
        </w:rPr>
      </w:pPr>
      <w:r w:rsidRPr="00115076">
        <w:rPr>
          <w:u w:val="single"/>
        </w:rPr>
        <w:t>Drums and IBCs</w:t>
      </w:r>
    </w:p>
    <w:p w14:paraId="4560EBDB" w14:textId="77777777" w:rsidR="009745F8" w:rsidRDefault="00115076" w:rsidP="00F64AE5">
      <w:pPr>
        <w:pStyle w:val="BMSBodyText"/>
        <w:spacing w:before="0" w:after="0"/>
        <w:jc w:val="both"/>
      </w:pPr>
      <w:r>
        <w:t xml:space="preserve">If a drum or IBC is marked with the letters ‘UN’ for United </w:t>
      </w:r>
      <w:proofErr w:type="gramStart"/>
      <w:r>
        <w:t>Nations</w:t>
      </w:r>
      <w:proofErr w:type="gramEnd"/>
      <w:r>
        <w:t xml:space="preserve"> it will meet the design standard.</w:t>
      </w:r>
    </w:p>
    <w:p w14:paraId="4560EBDC" w14:textId="77777777" w:rsidR="00115076" w:rsidRDefault="00115076" w:rsidP="00F64AE5">
      <w:pPr>
        <w:pStyle w:val="BMSBodyText"/>
        <w:spacing w:before="0" w:after="0"/>
        <w:jc w:val="both"/>
      </w:pPr>
    </w:p>
    <w:p w14:paraId="4560EBDD" w14:textId="77777777" w:rsidR="00115076" w:rsidRDefault="00115076" w:rsidP="00F64AE5">
      <w:pPr>
        <w:pStyle w:val="BMSBodyText"/>
        <w:spacing w:before="0" w:after="0"/>
        <w:jc w:val="both"/>
      </w:pPr>
    </w:p>
    <w:p w14:paraId="4560EBDE" w14:textId="77777777" w:rsidR="009745F8" w:rsidRPr="00877A62" w:rsidRDefault="009745F8" w:rsidP="00F64AE5">
      <w:pPr>
        <w:pStyle w:val="BMSBodyText"/>
        <w:spacing w:before="0" w:after="0"/>
        <w:jc w:val="both"/>
        <w:rPr>
          <w:b/>
        </w:rPr>
      </w:pPr>
      <w:proofErr w:type="spellStart"/>
      <w:r w:rsidRPr="00877A62">
        <w:rPr>
          <w:b/>
        </w:rPr>
        <w:t>Bunding</w:t>
      </w:r>
      <w:proofErr w:type="spellEnd"/>
      <w:r w:rsidRPr="00877A62">
        <w:rPr>
          <w:b/>
        </w:rPr>
        <w:t xml:space="preserve"> Requirements</w:t>
      </w:r>
    </w:p>
    <w:p w14:paraId="4560EBDF" w14:textId="77777777" w:rsidR="00D860EE" w:rsidRDefault="00B2229A" w:rsidP="00F64AE5">
      <w:pPr>
        <w:pStyle w:val="BMSBodyText"/>
        <w:spacing w:before="0" w:after="0"/>
        <w:jc w:val="both"/>
      </w:pPr>
      <w:r>
        <w:t>All containe</w:t>
      </w:r>
      <w:r w:rsidR="00D534C3">
        <w:t>rs above 200 litre capacity must</w:t>
      </w:r>
      <w:r>
        <w:t xml:space="preserve"> be stored in a secondary containment system which meets the following:</w:t>
      </w:r>
    </w:p>
    <w:p w14:paraId="4560EBE0" w14:textId="77777777" w:rsidR="00B2229A" w:rsidRDefault="00B2229A" w:rsidP="00F64AE5">
      <w:pPr>
        <w:pStyle w:val="BMSBodyText"/>
        <w:spacing w:before="0" w:after="0"/>
        <w:jc w:val="both"/>
      </w:pPr>
    </w:p>
    <w:p w14:paraId="4560EBE1" w14:textId="77777777" w:rsidR="00654707" w:rsidRDefault="00270AD9" w:rsidP="000B4042">
      <w:pPr>
        <w:pStyle w:val="BMSBodyText"/>
        <w:numPr>
          <w:ilvl w:val="0"/>
          <w:numId w:val="4"/>
        </w:numPr>
        <w:spacing w:after="0"/>
        <w:jc w:val="both"/>
      </w:pPr>
      <w:r>
        <w:t>For single containers</w:t>
      </w:r>
      <w:r w:rsidR="009745F8">
        <w:t xml:space="preserve"> excluding drums,</w:t>
      </w:r>
      <w:r>
        <w:t xml:space="preserve"> </w:t>
      </w:r>
      <w:r w:rsidR="001526F0">
        <w:t xml:space="preserve">the secondary containment must </w:t>
      </w:r>
      <w:r w:rsidR="00B2229A">
        <w:t xml:space="preserve">have a capacity of at least </w:t>
      </w:r>
      <w:r w:rsidR="001526F0">
        <w:t xml:space="preserve">110% of the maximum contents of the </w:t>
      </w:r>
      <w:r w:rsidR="00B2229A">
        <w:t>container.</w:t>
      </w:r>
    </w:p>
    <w:p w14:paraId="4560EBE2" w14:textId="77777777" w:rsidR="00654707" w:rsidRDefault="001526F0" w:rsidP="000B4042">
      <w:pPr>
        <w:pStyle w:val="BMSBodyText"/>
        <w:numPr>
          <w:ilvl w:val="0"/>
          <w:numId w:val="4"/>
        </w:numPr>
        <w:spacing w:after="0"/>
        <w:jc w:val="both"/>
      </w:pPr>
      <w:r>
        <w:t>If more than one oil storage container is used</w:t>
      </w:r>
      <w:r w:rsidR="00B2229A">
        <w:t>,</w:t>
      </w:r>
      <w:r>
        <w:t xml:space="preserve"> the secondary contain</w:t>
      </w:r>
      <w:r w:rsidR="00EA373F">
        <w:t>ment</w:t>
      </w:r>
      <w:r>
        <w:t xml:space="preserve"> must be able to store</w:t>
      </w:r>
      <w:r w:rsidR="00654707">
        <w:t xml:space="preserve"> </w:t>
      </w:r>
      <w:r>
        <w:t>at least 110% of the</w:t>
      </w:r>
      <w:r w:rsidR="00EA373F">
        <w:t xml:space="preserve"> capacity of the</w:t>
      </w:r>
      <w:r>
        <w:t xml:space="preserve"> largest container or 25% of the total storage capacity</w:t>
      </w:r>
      <w:r w:rsidR="009745F8">
        <w:t>,</w:t>
      </w:r>
      <w:r>
        <w:t xml:space="preserve"> whichever is the</w:t>
      </w:r>
      <w:r w:rsidR="00654707">
        <w:t xml:space="preserve"> </w:t>
      </w:r>
      <w:r>
        <w:t>greatest.</w:t>
      </w:r>
    </w:p>
    <w:p w14:paraId="4560EBE3" w14:textId="77777777" w:rsidR="00B2229A" w:rsidRDefault="00B2229A" w:rsidP="00D534C3">
      <w:pPr>
        <w:pStyle w:val="BMSBodyText"/>
        <w:numPr>
          <w:ilvl w:val="0"/>
          <w:numId w:val="4"/>
        </w:numPr>
        <w:spacing w:after="0"/>
        <w:jc w:val="both"/>
      </w:pPr>
      <w:r>
        <w:t>Where drums are</w:t>
      </w:r>
      <w:r w:rsidR="00270AD9">
        <w:t xml:space="preserve"> used to store oil, a drip tray </w:t>
      </w:r>
      <w:r w:rsidR="009745F8">
        <w:t>can be used as the secondary con</w:t>
      </w:r>
      <w:r>
        <w:t>tainment system</w:t>
      </w:r>
      <w:r w:rsidR="00D534C3">
        <w:t>.  The drip tray must</w:t>
      </w:r>
      <w:r w:rsidR="009745F8">
        <w:t xml:space="preserve"> </w:t>
      </w:r>
      <w:r w:rsidR="00D534C3">
        <w:t>have a capacity of at least 25% of the total storage capacity of the drum/s.</w:t>
      </w:r>
    </w:p>
    <w:p w14:paraId="4560EBE4" w14:textId="77777777" w:rsidR="00654707" w:rsidRDefault="001526F0" w:rsidP="000B4042">
      <w:pPr>
        <w:pStyle w:val="BMSBodyText"/>
        <w:numPr>
          <w:ilvl w:val="0"/>
          <w:numId w:val="4"/>
        </w:numPr>
        <w:spacing w:after="0"/>
        <w:jc w:val="both"/>
      </w:pPr>
      <w:r>
        <w:lastRenderedPageBreak/>
        <w:t>Any equipment ancillary to the container must be within the secondary container.</w:t>
      </w:r>
    </w:p>
    <w:p w14:paraId="4560EBE5" w14:textId="77777777" w:rsidR="00D534C3" w:rsidRDefault="00D534C3" w:rsidP="00D534C3">
      <w:pPr>
        <w:pStyle w:val="BMSBodyText"/>
        <w:spacing w:after="0"/>
        <w:jc w:val="both"/>
      </w:pPr>
    </w:p>
    <w:p w14:paraId="4560EBE6" w14:textId="77777777" w:rsidR="00D534C3" w:rsidRDefault="00D534C3" w:rsidP="00D534C3">
      <w:pPr>
        <w:pStyle w:val="BMSBodyText"/>
        <w:spacing w:after="0"/>
        <w:jc w:val="both"/>
      </w:pPr>
      <w:r>
        <w:t>Masonry/concrete bunds must not be penetrated by any valve, pipe or opening which i</w:t>
      </w:r>
      <w:r w:rsidR="00877A62">
        <w:t xml:space="preserve">s used for draining the system.  </w:t>
      </w:r>
      <w:r>
        <w:t>If any fill pipe or draw off pipe penetrates the base or walls</w:t>
      </w:r>
      <w:r w:rsidR="00877A62">
        <w:t>,</w:t>
      </w:r>
      <w:r>
        <w:t xml:space="preserve"> the junction of the pipe with the base or walls must be sealed to prevent oil escaping from the system.</w:t>
      </w:r>
    </w:p>
    <w:p w14:paraId="4560EBE7" w14:textId="77777777" w:rsidR="00D534C3" w:rsidRDefault="00D534C3" w:rsidP="00D534C3">
      <w:pPr>
        <w:pStyle w:val="BMSBodyText"/>
        <w:spacing w:after="0"/>
        <w:jc w:val="both"/>
      </w:pPr>
    </w:p>
    <w:p w14:paraId="4560EBE8" w14:textId="77777777" w:rsidR="00D534C3" w:rsidRPr="00654707" w:rsidRDefault="00D534C3" w:rsidP="00D534C3">
      <w:pPr>
        <w:pStyle w:val="BMSBodyText"/>
        <w:spacing w:after="0"/>
        <w:jc w:val="both"/>
        <w:rPr>
          <w:rFonts w:cs="Arial"/>
        </w:rPr>
      </w:pPr>
      <w:r>
        <w:t xml:space="preserve">Any valve, filter, sight gauge, vent pipe or other equipment ancillary to the container, must be situated </w:t>
      </w:r>
      <w:r w:rsidRPr="00654707">
        <w:rPr>
          <w:rFonts w:cs="Arial"/>
        </w:rPr>
        <w:t>within the secondary containment system.</w:t>
      </w:r>
    </w:p>
    <w:p w14:paraId="4560EBE9" w14:textId="77777777" w:rsidR="00D534C3" w:rsidRDefault="00D534C3" w:rsidP="00D534C3">
      <w:pPr>
        <w:pStyle w:val="BMSBodyText"/>
        <w:spacing w:after="0"/>
        <w:jc w:val="both"/>
        <w:rPr>
          <w:rFonts w:cs="Arial"/>
        </w:rPr>
      </w:pPr>
    </w:p>
    <w:p w14:paraId="4560EBEA" w14:textId="77777777" w:rsidR="00D534C3" w:rsidRPr="00654707" w:rsidRDefault="00D534C3" w:rsidP="00D534C3">
      <w:pPr>
        <w:pStyle w:val="BMSBodyText"/>
        <w:spacing w:after="0"/>
        <w:jc w:val="both"/>
        <w:rPr>
          <w:rFonts w:cs="Arial"/>
        </w:rPr>
      </w:pPr>
      <w:r w:rsidRPr="00654707">
        <w:rPr>
          <w:rFonts w:cs="Arial"/>
        </w:rPr>
        <w:t>Where a fill pipe is not within the secondary containment system, a drip tray must be used to catch any oil spilled when the container is being filled with oil.</w:t>
      </w:r>
    </w:p>
    <w:p w14:paraId="4560EBEB" w14:textId="77777777" w:rsidR="00D534C3" w:rsidRDefault="00D534C3" w:rsidP="00D534C3">
      <w:pPr>
        <w:pStyle w:val="BMSBodyText"/>
        <w:spacing w:after="0"/>
        <w:jc w:val="both"/>
        <w:rPr>
          <w:rFonts w:cs="Arial"/>
        </w:rPr>
      </w:pPr>
    </w:p>
    <w:p w14:paraId="4560EBEC" w14:textId="77777777" w:rsidR="00033630" w:rsidRDefault="00033630" w:rsidP="00033630">
      <w:pPr>
        <w:pStyle w:val="BMSBodyText"/>
        <w:spacing w:after="0"/>
        <w:jc w:val="both"/>
        <w:rPr>
          <w:rFonts w:cs="Arial"/>
        </w:rPr>
      </w:pPr>
      <w:r>
        <w:rPr>
          <w:rFonts w:cs="Arial"/>
        </w:rPr>
        <w:t>Ensure that fill hoses are re-stored within the bunded area after use.</w:t>
      </w:r>
    </w:p>
    <w:p w14:paraId="4560EBED" w14:textId="77777777" w:rsidR="00033630" w:rsidRDefault="00033630" w:rsidP="00D534C3">
      <w:pPr>
        <w:pStyle w:val="BMSBodyText"/>
        <w:spacing w:after="0"/>
        <w:jc w:val="both"/>
        <w:rPr>
          <w:rFonts w:cs="Arial"/>
        </w:rPr>
      </w:pPr>
    </w:p>
    <w:p w14:paraId="4560EBEE" w14:textId="77777777" w:rsidR="00D534C3" w:rsidRDefault="00D534C3" w:rsidP="00D534C3">
      <w:pPr>
        <w:pStyle w:val="BMSBodyText"/>
        <w:spacing w:after="0"/>
        <w:jc w:val="both"/>
        <w:rPr>
          <w:rFonts w:cs="Arial"/>
        </w:rPr>
      </w:pPr>
      <w:r>
        <w:rPr>
          <w:rFonts w:cs="Arial"/>
        </w:rPr>
        <w:t>Bowsers and tanks should be kept locked when not in use.</w:t>
      </w:r>
    </w:p>
    <w:p w14:paraId="4560EBEF" w14:textId="77777777" w:rsidR="00D534C3" w:rsidRDefault="00D534C3" w:rsidP="00D534C3">
      <w:pPr>
        <w:pStyle w:val="BMSBodyText"/>
        <w:spacing w:after="0"/>
        <w:jc w:val="both"/>
      </w:pPr>
    </w:p>
    <w:p w14:paraId="4560EBF0" w14:textId="77777777" w:rsidR="00033630" w:rsidRDefault="00033630" w:rsidP="00033630">
      <w:pPr>
        <w:pStyle w:val="BMSBodyText"/>
        <w:spacing w:after="0"/>
        <w:jc w:val="both"/>
      </w:pPr>
      <w:r>
        <w:t>For masonry/concrete bunds, the base and walls must be impermeable to water and oil.  A rendering or coating may need to be applied on the internal surfaces of the base and walls to make them impermeable.</w:t>
      </w:r>
    </w:p>
    <w:p w14:paraId="4560EBF1" w14:textId="77777777" w:rsidR="009745F8" w:rsidRDefault="009745F8" w:rsidP="009745F8">
      <w:pPr>
        <w:pStyle w:val="BMSBodyText"/>
        <w:spacing w:after="0"/>
        <w:jc w:val="both"/>
      </w:pPr>
    </w:p>
    <w:p w14:paraId="4560EBF2" w14:textId="77777777" w:rsidR="00033630" w:rsidRDefault="00033630" w:rsidP="00033630">
      <w:pPr>
        <w:pStyle w:val="BMSBodyText"/>
        <w:spacing w:after="0"/>
        <w:jc w:val="both"/>
        <w:rPr>
          <w:rFonts w:cs="Arial"/>
        </w:rPr>
      </w:pPr>
      <w:r w:rsidRPr="00654707">
        <w:rPr>
          <w:rFonts w:cs="Arial"/>
        </w:rPr>
        <w:t xml:space="preserve">The manufacturer and/or supplier of fuel bowsers, bunding, tanks etc. must </w:t>
      </w:r>
      <w:r w:rsidR="008B04DE">
        <w:rPr>
          <w:rFonts w:cs="Arial"/>
        </w:rPr>
        <w:t xml:space="preserve">confirm that </w:t>
      </w:r>
      <w:r w:rsidRPr="00654707">
        <w:rPr>
          <w:rFonts w:cs="Arial"/>
        </w:rPr>
        <w:t xml:space="preserve">a </w:t>
      </w:r>
      <w:proofErr w:type="gramStart"/>
      <w:r w:rsidRPr="00654707">
        <w:rPr>
          <w:rFonts w:cs="Arial"/>
        </w:rPr>
        <w:t>particular storage</w:t>
      </w:r>
      <w:proofErr w:type="gramEnd"/>
      <w:r w:rsidRPr="00654707">
        <w:rPr>
          <w:rFonts w:cs="Arial"/>
        </w:rPr>
        <w:t xml:space="preserve"> facility meets legal requirements.</w:t>
      </w:r>
    </w:p>
    <w:p w14:paraId="4560EBF3" w14:textId="77777777" w:rsidR="00ED0A61" w:rsidRDefault="00ED0A61" w:rsidP="009745F8">
      <w:pPr>
        <w:pStyle w:val="BMSBodyText"/>
        <w:spacing w:after="0"/>
        <w:jc w:val="both"/>
      </w:pPr>
    </w:p>
    <w:p w14:paraId="4560EBF4" w14:textId="77777777" w:rsidR="003603DF" w:rsidRPr="00877A62" w:rsidRDefault="003603DF" w:rsidP="003603DF">
      <w:pPr>
        <w:pStyle w:val="BMSBodyText"/>
        <w:jc w:val="both"/>
        <w:rPr>
          <w:b/>
        </w:rPr>
      </w:pPr>
      <w:r w:rsidRPr="00877A62">
        <w:rPr>
          <w:b/>
        </w:rPr>
        <w:t>Calculating the Capacity of Existing Secondary Containment Systems</w:t>
      </w:r>
    </w:p>
    <w:p w14:paraId="4560EBF5" w14:textId="77777777" w:rsidR="003603DF" w:rsidRDefault="003603DF" w:rsidP="003603DF">
      <w:pPr>
        <w:pStyle w:val="BMSBodyText"/>
        <w:jc w:val="both"/>
      </w:pPr>
      <w:r>
        <w:t>The capacity of the tank located within an open containment system can be calculated by making the measurements shown in the table below.  If the tank support structure takes up significant space, then the calculation must also consider this.</w:t>
      </w:r>
    </w:p>
    <w:p w14:paraId="4560EBF6" w14:textId="77777777" w:rsidR="003603DF" w:rsidRDefault="003603DF" w:rsidP="003603DF">
      <w:pPr>
        <w:pStyle w:val="BMSBodyText"/>
        <w:jc w:val="both"/>
      </w:pPr>
    </w:p>
    <w:tbl>
      <w:tblPr>
        <w:tblStyle w:val="TableGrid"/>
        <w:tblW w:w="0" w:type="auto"/>
        <w:tblLook w:val="04A0" w:firstRow="1" w:lastRow="0" w:firstColumn="1" w:lastColumn="0" w:noHBand="0" w:noVBand="1"/>
      </w:tblPr>
      <w:tblGrid>
        <w:gridCol w:w="5638"/>
        <w:gridCol w:w="2576"/>
        <w:gridCol w:w="2265"/>
      </w:tblGrid>
      <w:tr w:rsidR="003603DF" w14:paraId="4560EBFA" w14:textId="77777777" w:rsidTr="008C656D">
        <w:tc>
          <w:tcPr>
            <w:tcW w:w="5920" w:type="dxa"/>
          </w:tcPr>
          <w:p w14:paraId="4560EBF7" w14:textId="77777777" w:rsidR="003603DF" w:rsidRPr="00CF5D2A" w:rsidRDefault="003603DF" w:rsidP="008C656D">
            <w:pPr>
              <w:pStyle w:val="BMSBodyText"/>
              <w:jc w:val="both"/>
              <w:rPr>
                <w:b/>
              </w:rPr>
            </w:pPr>
            <w:r>
              <w:rPr>
                <w:b/>
              </w:rPr>
              <w:t>Calculation</w:t>
            </w:r>
          </w:p>
        </w:tc>
        <w:tc>
          <w:tcPr>
            <w:tcW w:w="2392" w:type="dxa"/>
          </w:tcPr>
          <w:p w14:paraId="4560EBF8" w14:textId="77777777" w:rsidR="003603DF" w:rsidRPr="00CF5D2A" w:rsidRDefault="003603DF" w:rsidP="008C656D">
            <w:pPr>
              <w:pStyle w:val="BMSBodyText"/>
              <w:jc w:val="both"/>
              <w:rPr>
                <w:b/>
              </w:rPr>
            </w:pPr>
            <w:r>
              <w:rPr>
                <w:b/>
              </w:rPr>
              <w:t>Result</w:t>
            </w:r>
          </w:p>
        </w:tc>
        <w:tc>
          <w:tcPr>
            <w:tcW w:w="2393" w:type="dxa"/>
          </w:tcPr>
          <w:p w14:paraId="4560EBF9" w14:textId="77777777" w:rsidR="003603DF" w:rsidRDefault="003603DF" w:rsidP="008C656D">
            <w:pPr>
              <w:pStyle w:val="BMSBodyText"/>
              <w:jc w:val="both"/>
            </w:pPr>
          </w:p>
        </w:tc>
      </w:tr>
      <w:tr w:rsidR="003603DF" w14:paraId="4560EBFE" w14:textId="77777777" w:rsidTr="008C656D">
        <w:tc>
          <w:tcPr>
            <w:tcW w:w="5920" w:type="dxa"/>
          </w:tcPr>
          <w:p w14:paraId="4560EBFB" w14:textId="77777777" w:rsidR="003603DF" w:rsidRPr="00CF5D2A" w:rsidRDefault="003603DF" w:rsidP="008C656D">
            <w:pPr>
              <w:pStyle w:val="BMSBodyText"/>
              <w:jc w:val="both"/>
            </w:pPr>
            <w:r w:rsidRPr="00CF5D2A">
              <w:t>Maximum capacity of primary tanks(s).  If unknown, use tank length x widt</w:t>
            </w:r>
            <w:r>
              <w:t>h x depth in metres and multiply</w:t>
            </w:r>
            <w:r w:rsidRPr="00CF5D2A">
              <w:t xml:space="preserve"> by 1,000 to convert to litres.</w:t>
            </w:r>
          </w:p>
        </w:tc>
        <w:tc>
          <w:tcPr>
            <w:tcW w:w="2392" w:type="dxa"/>
          </w:tcPr>
          <w:p w14:paraId="4560EBFC" w14:textId="77777777" w:rsidR="003603DF" w:rsidRPr="00CF5D2A" w:rsidRDefault="003603DF" w:rsidP="008C656D">
            <w:pPr>
              <w:pStyle w:val="BMSBodyText"/>
              <w:jc w:val="right"/>
            </w:pPr>
            <w:r>
              <w:t xml:space="preserve"> ………………</w:t>
            </w:r>
            <w:proofErr w:type="gramStart"/>
            <w:r>
              <w:t>….</w:t>
            </w:r>
            <w:r w:rsidRPr="00CF5D2A">
              <w:t>Litres</w:t>
            </w:r>
            <w:proofErr w:type="gramEnd"/>
          </w:p>
        </w:tc>
        <w:tc>
          <w:tcPr>
            <w:tcW w:w="2393" w:type="dxa"/>
          </w:tcPr>
          <w:p w14:paraId="4560EBFD" w14:textId="77777777" w:rsidR="003603DF" w:rsidRPr="00CF5D2A" w:rsidRDefault="003603DF" w:rsidP="008C656D">
            <w:pPr>
              <w:pStyle w:val="BMSBodyText"/>
              <w:jc w:val="both"/>
            </w:pPr>
            <w:r>
              <w:t>A</w:t>
            </w:r>
          </w:p>
        </w:tc>
      </w:tr>
      <w:tr w:rsidR="003603DF" w14:paraId="4560EC02" w14:textId="77777777" w:rsidTr="008C656D">
        <w:tc>
          <w:tcPr>
            <w:tcW w:w="5920" w:type="dxa"/>
          </w:tcPr>
          <w:p w14:paraId="4560EBFF" w14:textId="77777777" w:rsidR="003603DF" w:rsidRPr="00CF5D2A" w:rsidRDefault="003603DF" w:rsidP="008C656D">
            <w:pPr>
              <w:pStyle w:val="BMSBodyText"/>
              <w:jc w:val="both"/>
            </w:pPr>
            <w:r w:rsidRPr="00CF5D2A">
              <w:t>Containment capacity = length x width x depth of secondary containment in metres</w:t>
            </w:r>
          </w:p>
        </w:tc>
        <w:tc>
          <w:tcPr>
            <w:tcW w:w="2392" w:type="dxa"/>
          </w:tcPr>
          <w:p w14:paraId="4560EC00" w14:textId="77777777" w:rsidR="003603DF" w:rsidRPr="00CF5D2A" w:rsidRDefault="003603DF" w:rsidP="008C656D">
            <w:pPr>
              <w:pStyle w:val="BMSBodyText"/>
              <w:jc w:val="right"/>
            </w:pPr>
            <w:r>
              <w:t>……………………...</w:t>
            </w:r>
            <w:r w:rsidRPr="00CF5D2A">
              <w:t>m</w:t>
            </w:r>
            <w:r w:rsidRPr="00CF5D2A">
              <w:rPr>
                <w:vertAlign w:val="superscript"/>
              </w:rPr>
              <w:t>3</w:t>
            </w:r>
          </w:p>
        </w:tc>
        <w:tc>
          <w:tcPr>
            <w:tcW w:w="2393" w:type="dxa"/>
          </w:tcPr>
          <w:p w14:paraId="4560EC01" w14:textId="77777777" w:rsidR="003603DF" w:rsidRPr="00CF5D2A" w:rsidRDefault="003603DF" w:rsidP="008C656D">
            <w:pPr>
              <w:pStyle w:val="BMSBodyText"/>
              <w:jc w:val="both"/>
            </w:pPr>
          </w:p>
        </w:tc>
      </w:tr>
      <w:tr w:rsidR="003603DF" w14:paraId="4560EC06" w14:textId="77777777" w:rsidTr="008C656D">
        <w:tc>
          <w:tcPr>
            <w:tcW w:w="5920" w:type="dxa"/>
          </w:tcPr>
          <w:p w14:paraId="4560EC03" w14:textId="77777777" w:rsidR="003603DF" w:rsidRPr="00CF5D2A" w:rsidRDefault="003603DF" w:rsidP="008C656D">
            <w:pPr>
              <w:pStyle w:val="BMSBodyText"/>
              <w:jc w:val="both"/>
            </w:pPr>
            <w:r>
              <w:t>Then multiply by 1,000 to convert to litres</w:t>
            </w:r>
          </w:p>
        </w:tc>
        <w:tc>
          <w:tcPr>
            <w:tcW w:w="2392" w:type="dxa"/>
          </w:tcPr>
          <w:p w14:paraId="4560EC04" w14:textId="77777777" w:rsidR="003603DF" w:rsidRPr="00CF5D2A" w:rsidRDefault="003603DF" w:rsidP="008C656D">
            <w:pPr>
              <w:pStyle w:val="BMSBodyText"/>
              <w:jc w:val="right"/>
            </w:pPr>
            <w:r>
              <w:t>…………………...Litres</w:t>
            </w:r>
          </w:p>
        </w:tc>
        <w:tc>
          <w:tcPr>
            <w:tcW w:w="2393" w:type="dxa"/>
          </w:tcPr>
          <w:p w14:paraId="4560EC05" w14:textId="77777777" w:rsidR="003603DF" w:rsidRPr="00CF5D2A" w:rsidRDefault="003603DF" w:rsidP="008C656D">
            <w:pPr>
              <w:pStyle w:val="BMSBodyText"/>
              <w:jc w:val="both"/>
            </w:pPr>
            <w:r>
              <w:t>B</w:t>
            </w:r>
          </w:p>
        </w:tc>
      </w:tr>
      <w:tr w:rsidR="003603DF" w14:paraId="4560EC0A" w14:textId="77777777" w:rsidTr="008C656D">
        <w:tc>
          <w:tcPr>
            <w:tcW w:w="5920" w:type="dxa"/>
          </w:tcPr>
          <w:p w14:paraId="4560EC07" w14:textId="77777777" w:rsidR="003603DF" w:rsidRPr="00CF5D2A" w:rsidRDefault="003603DF" w:rsidP="008C656D">
            <w:pPr>
              <w:pStyle w:val="BMSBodyText"/>
              <w:jc w:val="both"/>
            </w:pPr>
            <w:r>
              <w:t xml:space="preserve">Volume lost by tank supports (if significant) in </w:t>
            </w:r>
            <w:r w:rsidRPr="00CF5D2A">
              <w:t>m</w:t>
            </w:r>
            <w:r w:rsidRPr="00CF5D2A">
              <w:rPr>
                <w:vertAlign w:val="superscript"/>
              </w:rPr>
              <w:t>3</w:t>
            </w:r>
          </w:p>
        </w:tc>
        <w:tc>
          <w:tcPr>
            <w:tcW w:w="2392" w:type="dxa"/>
          </w:tcPr>
          <w:p w14:paraId="4560EC08" w14:textId="77777777" w:rsidR="003603DF" w:rsidRPr="00CF5D2A" w:rsidRDefault="003603DF" w:rsidP="008C656D">
            <w:pPr>
              <w:pStyle w:val="BMSBodyText"/>
              <w:jc w:val="right"/>
            </w:pPr>
            <w:r>
              <w:t>……………………….</w:t>
            </w:r>
            <w:r w:rsidRPr="00CF5D2A">
              <w:t>m</w:t>
            </w:r>
            <w:r w:rsidRPr="00CF5D2A">
              <w:rPr>
                <w:vertAlign w:val="superscript"/>
              </w:rPr>
              <w:t>3</w:t>
            </w:r>
          </w:p>
        </w:tc>
        <w:tc>
          <w:tcPr>
            <w:tcW w:w="2393" w:type="dxa"/>
          </w:tcPr>
          <w:p w14:paraId="4560EC09" w14:textId="77777777" w:rsidR="003603DF" w:rsidRPr="00CF5D2A" w:rsidRDefault="003603DF" w:rsidP="008C656D">
            <w:pPr>
              <w:pStyle w:val="BMSBodyText"/>
              <w:jc w:val="both"/>
            </w:pPr>
          </w:p>
        </w:tc>
      </w:tr>
      <w:tr w:rsidR="003603DF" w14:paraId="4560EC0E" w14:textId="77777777" w:rsidTr="008C656D">
        <w:tc>
          <w:tcPr>
            <w:tcW w:w="5920" w:type="dxa"/>
          </w:tcPr>
          <w:p w14:paraId="4560EC0B" w14:textId="77777777" w:rsidR="003603DF" w:rsidRPr="00CF5D2A" w:rsidRDefault="003603DF" w:rsidP="008C656D">
            <w:pPr>
              <w:pStyle w:val="BMSBodyText"/>
              <w:jc w:val="both"/>
            </w:pPr>
            <w:r>
              <w:t>Then multiple by 1,000 to convert to litres</w:t>
            </w:r>
          </w:p>
        </w:tc>
        <w:tc>
          <w:tcPr>
            <w:tcW w:w="2392" w:type="dxa"/>
          </w:tcPr>
          <w:p w14:paraId="4560EC0C" w14:textId="77777777" w:rsidR="003603DF" w:rsidRPr="00CF5D2A" w:rsidRDefault="003603DF" w:rsidP="008C656D">
            <w:pPr>
              <w:pStyle w:val="BMSBodyText"/>
              <w:jc w:val="right"/>
            </w:pPr>
            <w:r>
              <w:t>……………………Litres</w:t>
            </w:r>
          </w:p>
        </w:tc>
        <w:tc>
          <w:tcPr>
            <w:tcW w:w="2393" w:type="dxa"/>
          </w:tcPr>
          <w:p w14:paraId="4560EC0D" w14:textId="77777777" w:rsidR="003603DF" w:rsidRPr="00CF5D2A" w:rsidRDefault="003603DF" w:rsidP="008C656D">
            <w:pPr>
              <w:pStyle w:val="BMSBodyText"/>
              <w:jc w:val="both"/>
            </w:pPr>
            <w:r>
              <w:t>C</w:t>
            </w:r>
          </w:p>
        </w:tc>
      </w:tr>
      <w:tr w:rsidR="003603DF" w14:paraId="4560EC12" w14:textId="77777777" w:rsidTr="008C656D">
        <w:tc>
          <w:tcPr>
            <w:tcW w:w="5920" w:type="dxa"/>
          </w:tcPr>
          <w:p w14:paraId="4560EC0F" w14:textId="77777777" w:rsidR="003603DF" w:rsidRPr="00CF5D2A" w:rsidRDefault="003603DF" w:rsidP="008C656D">
            <w:pPr>
              <w:pStyle w:val="BMSBodyText"/>
              <w:jc w:val="both"/>
            </w:pPr>
            <w:r>
              <w:t xml:space="preserve">Actual containment capacity = B – C (C=0 if tank supports do not occupy a significant volume) </w:t>
            </w:r>
          </w:p>
        </w:tc>
        <w:tc>
          <w:tcPr>
            <w:tcW w:w="2392" w:type="dxa"/>
          </w:tcPr>
          <w:p w14:paraId="4560EC10" w14:textId="77777777" w:rsidR="003603DF" w:rsidRPr="00CF5D2A" w:rsidRDefault="003603DF" w:rsidP="008C656D">
            <w:pPr>
              <w:pStyle w:val="BMSBodyText"/>
              <w:jc w:val="right"/>
            </w:pPr>
            <w:r>
              <w:t>…………………</w:t>
            </w:r>
            <w:proofErr w:type="gramStart"/>
            <w:r>
              <w:t>….Litres</w:t>
            </w:r>
            <w:proofErr w:type="gramEnd"/>
          </w:p>
        </w:tc>
        <w:tc>
          <w:tcPr>
            <w:tcW w:w="2393" w:type="dxa"/>
          </w:tcPr>
          <w:p w14:paraId="4560EC11" w14:textId="77777777" w:rsidR="003603DF" w:rsidRPr="00CF5D2A" w:rsidRDefault="003603DF" w:rsidP="008C656D">
            <w:pPr>
              <w:pStyle w:val="BMSBodyText"/>
              <w:jc w:val="both"/>
            </w:pPr>
            <w:r>
              <w:t>D</w:t>
            </w:r>
          </w:p>
        </w:tc>
      </w:tr>
      <w:tr w:rsidR="003603DF" w14:paraId="4560EC16" w14:textId="77777777" w:rsidTr="008C656D">
        <w:tc>
          <w:tcPr>
            <w:tcW w:w="5920" w:type="dxa"/>
          </w:tcPr>
          <w:p w14:paraId="4560EC13" w14:textId="77777777" w:rsidR="003603DF" w:rsidRPr="00CF5D2A" w:rsidRDefault="003603DF" w:rsidP="008C656D">
            <w:pPr>
              <w:pStyle w:val="BMSBodyText"/>
              <w:jc w:val="both"/>
            </w:pPr>
            <w:r>
              <w:t>Minimum containment capacity (110%) = (110/100) x A</w:t>
            </w:r>
          </w:p>
        </w:tc>
        <w:tc>
          <w:tcPr>
            <w:tcW w:w="2392" w:type="dxa"/>
          </w:tcPr>
          <w:p w14:paraId="4560EC14" w14:textId="77777777" w:rsidR="003603DF" w:rsidRPr="00CF5D2A" w:rsidRDefault="003603DF" w:rsidP="008C656D">
            <w:pPr>
              <w:pStyle w:val="BMSBodyText"/>
              <w:jc w:val="right"/>
            </w:pPr>
            <w:r>
              <w:t>…………………</w:t>
            </w:r>
            <w:proofErr w:type="gramStart"/>
            <w:r>
              <w:t>….Litres</w:t>
            </w:r>
            <w:proofErr w:type="gramEnd"/>
          </w:p>
        </w:tc>
        <w:tc>
          <w:tcPr>
            <w:tcW w:w="2393" w:type="dxa"/>
          </w:tcPr>
          <w:p w14:paraId="4560EC15" w14:textId="77777777" w:rsidR="003603DF" w:rsidRPr="00CF5D2A" w:rsidRDefault="003603DF" w:rsidP="008C656D">
            <w:pPr>
              <w:pStyle w:val="BMSBodyText"/>
              <w:jc w:val="both"/>
            </w:pPr>
            <w:r>
              <w:t>E</w:t>
            </w:r>
          </w:p>
        </w:tc>
      </w:tr>
    </w:tbl>
    <w:p w14:paraId="4560EC17" w14:textId="77777777" w:rsidR="003603DF" w:rsidRPr="00CF5D2A" w:rsidRDefault="003603DF" w:rsidP="003603DF">
      <w:pPr>
        <w:autoSpaceDE w:val="0"/>
        <w:autoSpaceDN w:val="0"/>
        <w:adjustRightInd w:val="0"/>
        <w:spacing w:after="0" w:line="240" w:lineRule="auto"/>
        <w:rPr>
          <w:rFonts w:cs="Arial"/>
          <w:color w:val="000000"/>
          <w:sz w:val="24"/>
          <w:szCs w:val="24"/>
        </w:rPr>
      </w:pPr>
    </w:p>
    <w:p w14:paraId="4560EC18" w14:textId="77777777" w:rsidR="003603DF" w:rsidRDefault="003603DF" w:rsidP="003603DF">
      <w:pPr>
        <w:pStyle w:val="BMSBodyText"/>
        <w:jc w:val="both"/>
      </w:pPr>
      <w:r>
        <w:t xml:space="preserve">If </w:t>
      </w:r>
      <w:r w:rsidRPr="003603DF">
        <w:rPr>
          <w:b/>
        </w:rPr>
        <w:t>D</w:t>
      </w:r>
      <w:r>
        <w:t xml:space="preserve"> </w:t>
      </w:r>
      <w:r w:rsidRPr="003603DF">
        <w:t>is</w:t>
      </w:r>
      <w:r w:rsidRPr="003603DF">
        <w:rPr>
          <w:b/>
        </w:rPr>
        <w:t xml:space="preserve"> equal or greater than E</w:t>
      </w:r>
      <w:r>
        <w:t>, then the containment system volume is adequate and will comply with legislative requirements. The regulator may request that additional containment volume is provided in some environmentally sensitive situations.</w:t>
      </w:r>
    </w:p>
    <w:p w14:paraId="4560EC19" w14:textId="77777777" w:rsidR="003603DF" w:rsidRDefault="003603DF" w:rsidP="003603DF">
      <w:pPr>
        <w:pStyle w:val="BMSBodyText"/>
        <w:jc w:val="both"/>
      </w:pPr>
    </w:p>
    <w:p w14:paraId="4560EC1A" w14:textId="77777777" w:rsidR="003603DF" w:rsidRDefault="003603DF" w:rsidP="003603DF">
      <w:pPr>
        <w:pStyle w:val="BMSBodyText"/>
        <w:jc w:val="both"/>
      </w:pPr>
      <w:r>
        <w:lastRenderedPageBreak/>
        <w:t xml:space="preserve">If </w:t>
      </w:r>
      <w:r w:rsidRPr="003603DF">
        <w:rPr>
          <w:b/>
        </w:rPr>
        <w:t>D</w:t>
      </w:r>
      <w:r>
        <w:t xml:space="preserve"> is less than </w:t>
      </w:r>
      <w:proofErr w:type="gramStart"/>
      <w:r w:rsidRPr="003603DF">
        <w:rPr>
          <w:b/>
        </w:rPr>
        <w:t>E</w:t>
      </w:r>
      <w:proofErr w:type="gramEnd"/>
      <w:r>
        <w:t xml:space="preserve"> then the containment system is insufficient and will not comply with legislation.  Contact your Environmental Advisor to ensure compliance.</w:t>
      </w:r>
    </w:p>
    <w:p w14:paraId="4560EC1B" w14:textId="77777777" w:rsidR="003603DF" w:rsidRDefault="003603DF" w:rsidP="003603DF">
      <w:pPr>
        <w:pStyle w:val="BMSBodyText"/>
        <w:jc w:val="both"/>
      </w:pPr>
    </w:p>
    <w:p w14:paraId="4560EC1C" w14:textId="77777777" w:rsidR="003603DF" w:rsidRDefault="003603DF" w:rsidP="003603DF">
      <w:pPr>
        <w:pStyle w:val="BMSBodyText"/>
        <w:jc w:val="both"/>
      </w:pPr>
      <w:r>
        <w:t>For installations where the tank takes up a significant part of the bund, the capacity available in the event of overfilling may be inadequate. This will require consideration of delivery procedures and alarm systems if the risk is to be managed.</w:t>
      </w:r>
    </w:p>
    <w:p w14:paraId="4560EC1D" w14:textId="77777777" w:rsidR="00455A64" w:rsidRDefault="00455A64" w:rsidP="009745F8">
      <w:pPr>
        <w:pStyle w:val="BMSBodyText"/>
        <w:spacing w:after="0"/>
        <w:jc w:val="both"/>
        <w:rPr>
          <w:u w:val="single"/>
        </w:rPr>
      </w:pPr>
    </w:p>
    <w:p w14:paraId="4560EC1E" w14:textId="77777777" w:rsidR="003603DF" w:rsidRPr="00877A62" w:rsidRDefault="003603DF" w:rsidP="003603DF">
      <w:pPr>
        <w:pStyle w:val="BMSBodyText"/>
        <w:jc w:val="both"/>
        <w:rPr>
          <w:b/>
        </w:rPr>
      </w:pPr>
      <w:r w:rsidRPr="00877A62">
        <w:rPr>
          <w:b/>
        </w:rPr>
        <w:t>Bund Inspection and Maintenance</w:t>
      </w:r>
    </w:p>
    <w:p w14:paraId="4560EC1F" w14:textId="77777777" w:rsidR="003603DF" w:rsidRDefault="003603DF" w:rsidP="003603DF">
      <w:pPr>
        <w:pStyle w:val="BMSBodyText"/>
        <w:jc w:val="both"/>
      </w:pPr>
      <w:r w:rsidRPr="007A1490">
        <w:t>The bunded area of fuel storage facilities should be regularly inspected and emptied when necessary to prevent accumulation of fuel spillage or rainwater</w:t>
      </w:r>
    </w:p>
    <w:p w14:paraId="4560EC20" w14:textId="77777777" w:rsidR="003603DF" w:rsidRDefault="003603DF" w:rsidP="003603DF">
      <w:pPr>
        <w:pStyle w:val="BMSBodyText"/>
        <w:jc w:val="both"/>
      </w:pPr>
    </w:p>
    <w:p w14:paraId="4560EC21" w14:textId="77777777" w:rsidR="003603DF" w:rsidRDefault="003603DF" w:rsidP="003603DF">
      <w:pPr>
        <w:pStyle w:val="BMSBodyText"/>
        <w:jc w:val="both"/>
      </w:pPr>
      <w:r>
        <w:t>If oil is being stored outside</w:t>
      </w:r>
      <w:r w:rsidRPr="008C16BC">
        <w:t xml:space="preserve">, check to ensure no water has gone into the bund. If water is found, use a manually controlled bailing or pumping system to remove the water. The water removed may be contaminated with oil. Such water must be disposed of as hazardous waste </w:t>
      </w:r>
      <w:r w:rsidR="00877A62">
        <w:t xml:space="preserve">(special waste in Scotland) </w:t>
      </w:r>
      <w:r w:rsidRPr="008C16BC">
        <w:t xml:space="preserve">via an approved subcontractor. </w:t>
      </w:r>
      <w:r>
        <w:t>Do</w:t>
      </w:r>
      <w:r w:rsidRPr="008C16BC">
        <w:t xml:space="preserve"> not discharge rainwater that accumulates in the bunds to drains, unless the site has a specific trade effluent or discharge consent</w:t>
      </w:r>
      <w:r>
        <w:t xml:space="preserve"> from the relevant enforcing body, which permits such discharges.</w:t>
      </w:r>
    </w:p>
    <w:p w14:paraId="4560EC22" w14:textId="77777777" w:rsidR="003603DF" w:rsidRDefault="003603DF" w:rsidP="003603DF">
      <w:pPr>
        <w:pStyle w:val="BMSBodyText"/>
        <w:jc w:val="both"/>
      </w:pPr>
    </w:p>
    <w:p w14:paraId="4560EC23" w14:textId="77777777" w:rsidR="003603DF" w:rsidRDefault="003603DF" w:rsidP="003603DF">
      <w:pPr>
        <w:pStyle w:val="BMSBodyText"/>
        <w:jc w:val="both"/>
      </w:pPr>
      <w:r w:rsidRPr="007A1490">
        <w:t xml:space="preserve">All drips trays and plant nappies must be emptied regularly to prevent overflow.  In the case of drip trays, an insert from a plant nappy may be used to soak up any spillage.  All waste is to be disposed </w:t>
      </w:r>
      <w:r>
        <w:t>in line with legal requirements.</w:t>
      </w:r>
    </w:p>
    <w:p w14:paraId="4560EC24" w14:textId="77777777" w:rsidR="003603DF" w:rsidRPr="007A1490" w:rsidRDefault="003603DF" w:rsidP="003603DF">
      <w:pPr>
        <w:pStyle w:val="BMSBodyText"/>
        <w:jc w:val="both"/>
      </w:pPr>
    </w:p>
    <w:p w14:paraId="4560EC25" w14:textId="77777777" w:rsidR="006A0C2D" w:rsidRDefault="003603DF" w:rsidP="006A0C2D">
      <w:pPr>
        <w:pStyle w:val="BMSBodyText"/>
        <w:jc w:val="both"/>
      </w:pPr>
      <w:r w:rsidRPr="007A1490">
        <w:t>All movements of hazardous waste must be covered by a ha</w:t>
      </w:r>
      <w:r>
        <w:t>zardous waste consignment note in line with country specific requirements.</w:t>
      </w:r>
    </w:p>
    <w:p w14:paraId="4560EC26" w14:textId="77777777" w:rsidR="00A37D44" w:rsidRDefault="00A37D44" w:rsidP="006A0C2D">
      <w:pPr>
        <w:pStyle w:val="BMSBodyText"/>
        <w:jc w:val="both"/>
        <w:rPr>
          <w:b/>
          <w:u w:val="single"/>
        </w:rPr>
      </w:pPr>
    </w:p>
    <w:p w14:paraId="4560EC27" w14:textId="77777777" w:rsidR="009745F8" w:rsidRPr="00877A62" w:rsidRDefault="009745F8" w:rsidP="009745F8">
      <w:pPr>
        <w:pStyle w:val="BMSBodyText"/>
        <w:spacing w:after="0"/>
        <w:jc w:val="both"/>
        <w:rPr>
          <w:b/>
        </w:rPr>
      </w:pPr>
      <w:r w:rsidRPr="00877A62">
        <w:rPr>
          <w:b/>
        </w:rPr>
        <w:t xml:space="preserve">Positioning </w:t>
      </w:r>
      <w:r w:rsidR="00D534C3" w:rsidRPr="00877A62">
        <w:rPr>
          <w:b/>
        </w:rPr>
        <w:t>of Oil Storage Containers</w:t>
      </w:r>
    </w:p>
    <w:p w14:paraId="4560EC28" w14:textId="77777777" w:rsidR="009745F8" w:rsidRDefault="009745F8" w:rsidP="009745F8">
      <w:pPr>
        <w:pStyle w:val="BMSBodyText"/>
        <w:spacing w:after="0"/>
        <w:jc w:val="both"/>
      </w:pPr>
      <w:r>
        <w:t>The following requirements must be met:</w:t>
      </w:r>
    </w:p>
    <w:p w14:paraId="4560EC29" w14:textId="77777777" w:rsidR="009745F8" w:rsidRDefault="00295642" w:rsidP="000B4042">
      <w:pPr>
        <w:pStyle w:val="BMSBodyText"/>
        <w:numPr>
          <w:ilvl w:val="0"/>
          <w:numId w:val="4"/>
        </w:numPr>
        <w:spacing w:after="0"/>
        <w:jc w:val="both"/>
      </w:pPr>
      <w:r>
        <w:t>O</w:t>
      </w:r>
      <w:r w:rsidR="001526F0">
        <w:t>il must not be stored</w:t>
      </w:r>
      <w:r w:rsidR="009745F8">
        <w:t>:</w:t>
      </w:r>
    </w:p>
    <w:p w14:paraId="4560EC2A" w14:textId="77777777" w:rsidR="009745F8" w:rsidRDefault="009745F8" w:rsidP="009745F8">
      <w:pPr>
        <w:pStyle w:val="BMSBodyText"/>
        <w:numPr>
          <w:ilvl w:val="1"/>
          <w:numId w:val="4"/>
        </w:numPr>
        <w:spacing w:after="0"/>
        <w:jc w:val="both"/>
      </w:pPr>
      <w:r>
        <w:t>W</w:t>
      </w:r>
      <w:r w:rsidR="001526F0">
        <w:t>ithin 10 metr</w:t>
      </w:r>
      <w:r>
        <w:t>es of any watercourse</w:t>
      </w:r>
    </w:p>
    <w:p w14:paraId="4560EC2B" w14:textId="77777777" w:rsidR="009745F8" w:rsidRDefault="009745F8" w:rsidP="009745F8">
      <w:pPr>
        <w:pStyle w:val="BMSBodyText"/>
        <w:numPr>
          <w:ilvl w:val="1"/>
          <w:numId w:val="4"/>
        </w:numPr>
        <w:spacing w:after="0"/>
        <w:jc w:val="both"/>
      </w:pPr>
      <w:r>
        <w:t>Within 10 metres of a surface water drain</w:t>
      </w:r>
    </w:p>
    <w:p w14:paraId="4560EC2C" w14:textId="77777777" w:rsidR="00654707" w:rsidRDefault="009745F8" w:rsidP="009745F8">
      <w:pPr>
        <w:pStyle w:val="BMSBodyText"/>
        <w:numPr>
          <w:ilvl w:val="1"/>
          <w:numId w:val="4"/>
        </w:numPr>
        <w:spacing w:after="0"/>
        <w:jc w:val="both"/>
      </w:pPr>
      <w:r>
        <w:t>W</w:t>
      </w:r>
      <w:r w:rsidR="001526F0">
        <w:t>ithin 50 metres of</w:t>
      </w:r>
      <w:r w:rsidR="00654707">
        <w:t xml:space="preserve"> </w:t>
      </w:r>
      <w:r w:rsidR="001526F0">
        <w:t xml:space="preserve">a </w:t>
      </w:r>
      <w:r>
        <w:t>spring, well or borehole</w:t>
      </w:r>
    </w:p>
    <w:p w14:paraId="4560EC2D" w14:textId="77777777" w:rsidR="0037518C" w:rsidRDefault="0037518C" w:rsidP="0037518C">
      <w:pPr>
        <w:pStyle w:val="BMSBodyText"/>
        <w:numPr>
          <w:ilvl w:val="0"/>
          <w:numId w:val="4"/>
        </w:numPr>
        <w:spacing w:after="0"/>
        <w:jc w:val="both"/>
        <w:rPr>
          <w:rFonts w:cs="Arial"/>
        </w:rPr>
      </w:pPr>
      <w:r>
        <w:rPr>
          <w:rFonts w:cs="Arial"/>
        </w:rPr>
        <w:t>Bowsers and tanks should be placed on hard standing wherever possible.</w:t>
      </w:r>
    </w:p>
    <w:p w14:paraId="4560EC2E" w14:textId="77777777" w:rsidR="00E90BFF" w:rsidRDefault="00E90BFF" w:rsidP="0037518C">
      <w:pPr>
        <w:pStyle w:val="BMSBodyText"/>
        <w:spacing w:after="0"/>
        <w:ind w:left="720"/>
        <w:jc w:val="both"/>
      </w:pPr>
    </w:p>
    <w:p w14:paraId="4560EC2F" w14:textId="77777777" w:rsidR="00E90BFF" w:rsidRPr="00877A62" w:rsidRDefault="00E90BFF" w:rsidP="00E90BFF">
      <w:pPr>
        <w:pStyle w:val="BMSBodyText"/>
        <w:jc w:val="both"/>
        <w:rPr>
          <w:b/>
        </w:rPr>
      </w:pPr>
      <w:r w:rsidRPr="00877A62">
        <w:rPr>
          <w:b/>
        </w:rPr>
        <w:t>Requirements for Fixed Tanks</w:t>
      </w:r>
    </w:p>
    <w:p w14:paraId="4560EC30" w14:textId="77777777" w:rsidR="00E90BFF" w:rsidRPr="00B77B90" w:rsidRDefault="00E90BFF" w:rsidP="00E90BFF">
      <w:pPr>
        <w:pStyle w:val="BMSBodyText"/>
        <w:numPr>
          <w:ilvl w:val="0"/>
          <w:numId w:val="6"/>
        </w:numPr>
        <w:jc w:val="both"/>
      </w:pPr>
      <w:r w:rsidRPr="00B77B90">
        <w:t>Any sight gauge must be properly supported and fitted with valve that closes automatically when not in use.</w:t>
      </w:r>
    </w:p>
    <w:p w14:paraId="4560EC31" w14:textId="77777777" w:rsidR="00E90BFF" w:rsidRPr="00B77B90" w:rsidRDefault="00E90BFF" w:rsidP="00E90BFF">
      <w:pPr>
        <w:pStyle w:val="BMSBodyText"/>
        <w:numPr>
          <w:ilvl w:val="0"/>
          <w:numId w:val="6"/>
        </w:numPr>
        <w:jc w:val="both"/>
      </w:pPr>
      <w:r w:rsidRPr="00B77B90">
        <w:t>To prevent collisions from vehicles, barriers should be positioned to protect storage tanks from possible impact.</w:t>
      </w:r>
    </w:p>
    <w:p w14:paraId="4560EC32" w14:textId="77777777" w:rsidR="00E90BFF" w:rsidRPr="00B77B90" w:rsidRDefault="00E90BFF" w:rsidP="00E90BFF">
      <w:pPr>
        <w:pStyle w:val="BMSBodyText"/>
        <w:numPr>
          <w:ilvl w:val="0"/>
          <w:numId w:val="6"/>
        </w:numPr>
        <w:jc w:val="both"/>
      </w:pPr>
      <w:proofErr w:type="gramStart"/>
      <w:r w:rsidRPr="00B77B90">
        <w:t>Any fill pipe,</w:t>
      </w:r>
      <w:proofErr w:type="gramEnd"/>
      <w:r w:rsidRPr="00B77B90">
        <w:t xml:space="preserve"> draw off pipe or overflow pipe must be positioned so as to minimise the risk of damage by impact.</w:t>
      </w:r>
    </w:p>
    <w:p w14:paraId="4560EC33" w14:textId="77777777" w:rsidR="00E90BFF" w:rsidRPr="00B77B90" w:rsidRDefault="00E90BFF" w:rsidP="00E90BFF">
      <w:pPr>
        <w:pStyle w:val="BMSBodyText"/>
        <w:numPr>
          <w:ilvl w:val="0"/>
          <w:numId w:val="6"/>
        </w:numPr>
        <w:jc w:val="both"/>
      </w:pPr>
      <w:r w:rsidRPr="00B77B90">
        <w:t>An automatic overfill prevention device must be fitted to the tank if the tank or vent pipe cannot be seen during the filling operation.</w:t>
      </w:r>
    </w:p>
    <w:p w14:paraId="4560EC34" w14:textId="77777777" w:rsidR="00E86E80" w:rsidRPr="00BF0E35" w:rsidRDefault="00E90BFF" w:rsidP="00E86E80">
      <w:pPr>
        <w:pStyle w:val="BMSBodyText"/>
        <w:numPr>
          <w:ilvl w:val="0"/>
          <w:numId w:val="6"/>
        </w:numPr>
        <w:jc w:val="both"/>
      </w:pPr>
      <w:r w:rsidRPr="00B77B90">
        <w:t xml:space="preserve">Where a screw fitting or other fixed coupling is fitted to the tank, ensure that it is in good condition and is </w:t>
      </w:r>
      <w:r w:rsidRPr="00BF0E35">
        <w:t>used when the tank is being filled.</w:t>
      </w:r>
    </w:p>
    <w:p w14:paraId="4560EC35" w14:textId="77777777" w:rsidR="00BF0E35" w:rsidRPr="00BF0E35" w:rsidRDefault="00BF0E35" w:rsidP="00E86E80">
      <w:pPr>
        <w:pStyle w:val="BMSBodyText"/>
        <w:numPr>
          <w:ilvl w:val="0"/>
          <w:numId w:val="6"/>
        </w:numPr>
        <w:jc w:val="both"/>
      </w:pPr>
      <w:r w:rsidRPr="00BF0E35">
        <w:t>Where oil from the tank is delivered through a flexible pipe which is permanently attached to the container, ensure that:</w:t>
      </w:r>
    </w:p>
    <w:p w14:paraId="4560EC36" w14:textId="77777777" w:rsidR="00E86E80" w:rsidRPr="00BF0E35" w:rsidRDefault="00E86E80" w:rsidP="00E86E80">
      <w:pPr>
        <w:pStyle w:val="BMSBodyText"/>
        <w:numPr>
          <w:ilvl w:val="1"/>
          <w:numId w:val="6"/>
        </w:numPr>
        <w:jc w:val="both"/>
      </w:pPr>
      <w:r w:rsidRPr="00BF0E35">
        <w:lastRenderedPageBreak/>
        <w:t>A tap or valve is fitted at the delivery end of the pipe which closes automatically when not in use.</w:t>
      </w:r>
    </w:p>
    <w:p w14:paraId="4560EC37" w14:textId="77777777" w:rsidR="00BF0E35" w:rsidRPr="00BF0E35" w:rsidRDefault="00E86E80" w:rsidP="00BF0E35">
      <w:pPr>
        <w:pStyle w:val="BMSBodyText"/>
        <w:numPr>
          <w:ilvl w:val="1"/>
          <w:numId w:val="6"/>
        </w:numPr>
        <w:jc w:val="both"/>
      </w:pPr>
      <w:r w:rsidRPr="00BF0E35">
        <w:t>The tap or valve cannot be fixed in the open position, unless the pipe is fitted with an automatic shut off device</w:t>
      </w:r>
      <w:r w:rsidR="00877A62">
        <w:t>.</w:t>
      </w:r>
    </w:p>
    <w:p w14:paraId="4560EC38" w14:textId="77777777" w:rsidR="00E86E80" w:rsidRPr="00BF0E35" w:rsidRDefault="00E86E80" w:rsidP="00BF0E35">
      <w:pPr>
        <w:pStyle w:val="BMSBodyText"/>
        <w:numPr>
          <w:ilvl w:val="1"/>
          <w:numId w:val="6"/>
        </w:numPr>
        <w:jc w:val="both"/>
      </w:pPr>
      <w:r w:rsidRPr="00BF0E35">
        <w:t>When a delivery pipe is not in use, ensure that it is kept in a secure, locked cabinet with a drip tray or has a lockable valve (locked shut when not in use) where it leaves the container and that it is kept within a secondary containment system.</w:t>
      </w:r>
    </w:p>
    <w:p w14:paraId="4560EC39" w14:textId="77777777" w:rsidR="00E86E80" w:rsidRPr="00BF0E35" w:rsidRDefault="00E86E80" w:rsidP="00877A62">
      <w:pPr>
        <w:pStyle w:val="BMSBodyText"/>
        <w:numPr>
          <w:ilvl w:val="0"/>
          <w:numId w:val="15"/>
        </w:numPr>
        <w:ind w:left="709"/>
        <w:jc w:val="both"/>
      </w:pPr>
      <w:r w:rsidRPr="00BF0E35">
        <w:t>Where a pump is used, ensure that it is:</w:t>
      </w:r>
    </w:p>
    <w:p w14:paraId="4560EC3A" w14:textId="77777777" w:rsidR="00BF0E35" w:rsidRDefault="00E86E80" w:rsidP="00877A62">
      <w:pPr>
        <w:pStyle w:val="BMSBodyText"/>
        <w:numPr>
          <w:ilvl w:val="0"/>
          <w:numId w:val="11"/>
        </w:numPr>
        <w:ind w:left="1418"/>
        <w:jc w:val="both"/>
      </w:pPr>
      <w:r w:rsidRPr="00BF0E35">
        <w:t>Fitted with a valve in its feed line that stops the tank contents draining out if the pump or pipework to the pump is damaged.</w:t>
      </w:r>
    </w:p>
    <w:p w14:paraId="4560EC3B" w14:textId="77777777" w:rsidR="00BF0E35" w:rsidRDefault="00E86E80" w:rsidP="00877A62">
      <w:pPr>
        <w:pStyle w:val="BMSBodyText"/>
        <w:numPr>
          <w:ilvl w:val="0"/>
          <w:numId w:val="11"/>
        </w:numPr>
        <w:tabs>
          <w:tab w:val="left" w:pos="1418"/>
        </w:tabs>
        <w:ind w:left="1418"/>
        <w:jc w:val="both"/>
      </w:pPr>
      <w:r w:rsidRPr="00BF0E35">
        <w:t>Positioned to minimise any risk to the immediate environment or cause damage.</w:t>
      </w:r>
    </w:p>
    <w:p w14:paraId="4560EC3C" w14:textId="77777777" w:rsidR="00BF0E35" w:rsidRDefault="00E86E80" w:rsidP="00877A62">
      <w:pPr>
        <w:pStyle w:val="BMSBodyText"/>
        <w:numPr>
          <w:ilvl w:val="0"/>
          <w:numId w:val="11"/>
        </w:numPr>
        <w:ind w:left="1418"/>
        <w:jc w:val="both"/>
      </w:pPr>
      <w:r w:rsidRPr="00BF0E35">
        <w:t>Protected from unauthorised use. Oil storage areas should be as resistant as possible to unauthorised interference and vandalism.</w:t>
      </w:r>
    </w:p>
    <w:p w14:paraId="4560EC3D" w14:textId="77777777" w:rsidR="00BF0E35" w:rsidRDefault="00BF0E35" w:rsidP="00BF0E35">
      <w:pPr>
        <w:pStyle w:val="BMSBodyText"/>
        <w:numPr>
          <w:ilvl w:val="0"/>
          <w:numId w:val="11"/>
        </w:numPr>
        <w:ind w:left="426"/>
        <w:jc w:val="both"/>
      </w:pPr>
      <w:r>
        <w:t xml:space="preserve">Any permanent vent pipe </w:t>
      </w:r>
      <w:proofErr w:type="gramStart"/>
      <w:r>
        <w:t>tap</w:t>
      </w:r>
      <w:proofErr w:type="gramEnd"/>
      <w:r>
        <w:t xml:space="preserve"> or valve through which oil can be discharged from the tank must:</w:t>
      </w:r>
    </w:p>
    <w:p w14:paraId="4560EC3E" w14:textId="77777777" w:rsidR="00BF0E35" w:rsidRDefault="00BF0E35" w:rsidP="00877A62">
      <w:pPr>
        <w:pStyle w:val="BMSBodyText"/>
        <w:numPr>
          <w:ilvl w:val="0"/>
          <w:numId w:val="11"/>
        </w:numPr>
        <w:ind w:left="1418"/>
        <w:jc w:val="both"/>
      </w:pPr>
      <w:r>
        <w:t>Be situated within the secondary containment system</w:t>
      </w:r>
    </w:p>
    <w:p w14:paraId="4560EC3F" w14:textId="77777777" w:rsidR="004978D3" w:rsidRDefault="00BF0E35" w:rsidP="00877A62">
      <w:pPr>
        <w:pStyle w:val="BMSBodyText"/>
        <w:numPr>
          <w:ilvl w:val="0"/>
          <w:numId w:val="11"/>
        </w:numPr>
        <w:tabs>
          <w:tab w:val="left" w:pos="1418"/>
        </w:tabs>
        <w:ind w:left="1418"/>
        <w:jc w:val="both"/>
      </w:pPr>
      <w:r>
        <w:t xml:space="preserve">Be arranged so that any oil discharged vertically downwards is contained </w:t>
      </w:r>
      <w:r w:rsidR="004978D3">
        <w:t>within the secondary containment</w:t>
      </w:r>
    </w:p>
    <w:p w14:paraId="4560EC40" w14:textId="77777777" w:rsidR="00BF0E35" w:rsidRPr="00BF0E35" w:rsidRDefault="004978D3" w:rsidP="00877A62">
      <w:pPr>
        <w:pStyle w:val="BMSBodyText"/>
        <w:numPr>
          <w:ilvl w:val="0"/>
          <w:numId w:val="11"/>
        </w:numPr>
        <w:ind w:left="1418"/>
        <w:jc w:val="both"/>
      </w:pPr>
      <w:r>
        <w:t xml:space="preserve">In the case of any tap or valve, it must be fitted with a lock and locked shut when not </w:t>
      </w:r>
      <w:r w:rsidR="00D74F92">
        <w:t>in</w:t>
      </w:r>
      <w:r>
        <w:t xml:space="preserve"> use.</w:t>
      </w:r>
    </w:p>
    <w:p w14:paraId="4560EC41" w14:textId="77777777" w:rsidR="00136547" w:rsidRDefault="00136547" w:rsidP="00F64AE5">
      <w:pPr>
        <w:pStyle w:val="BMSBodyText"/>
        <w:jc w:val="both"/>
      </w:pPr>
    </w:p>
    <w:p w14:paraId="4560EC42" w14:textId="77777777" w:rsidR="00654707" w:rsidRPr="00877A62" w:rsidRDefault="00E90BFF" w:rsidP="00F64AE5">
      <w:pPr>
        <w:pStyle w:val="BMSBodyText"/>
        <w:jc w:val="both"/>
        <w:rPr>
          <w:b/>
        </w:rPr>
      </w:pPr>
      <w:r w:rsidRPr="00877A62">
        <w:rPr>
          <w:b/>
        </w:rPr>
        <w:t>Requirements</w:t>
      </w:r>
      <w:r w:rsidR="00033630" w:rsidRPr="00877A62">
        <w:rPr>
          <w:b/>
        </w:rPr>
        <w:t xml:space="preserve"> for Mobile Bowsers</w:t>
      </w:r>
    </w:p>
    <w:p w14:paraId="4560EC43" w14:textId="77777777" w:rsidR="00654707" w:rsidRPr="00375CAA" w:rsidRDefault="00654707" w:rsidP="000B4042">
      <w:pPr>
        <w:pStyle w:val="BMSBodyText"/>
        <w:numPr>
          <w:ilvl w:val="0"/>
          <w:numId w:val="5"/>
        </w:numPr>
        <w:jc w:val="both"/>
      </w:pPr>
      <w:r w:rsidRPr="00375CAA">
        <w:t>Taps or valves permanently fixed to the unit through which oil can be discharged must be fitted with a lock and locked shut when not in use.</w:t>
      </w:r>
    </w:p>
    <w:p w14:paraId="4560EC44" w14:textId="77777777" w:rsidR="00654707" w:rsidRPr="008B04DE" w:rsidRDefault="00654707" w:rsidP="000B4042">
      <w:pPr>
        <w:pStyle w:val="BMSBodyText"/>
        <w:numPr>
          <w:ilvl w:val="0"/>
          <w:numId w:val="5"/>
        </w:numPr>
        <w:jc w:val="both"/>
      </w:pPr>
      <w:r w:rsidRPr="008B04DE">
        <w:t xml:space="preserve">Where oil is delivered through a flexible pipe which is permanently attached to the unit: </w:t>
      </w:r>
    </w:p>
    <w:p w14:paraId="4560EC45" w14:textId="77777777" w:rsidR="00654707" w:rsidRPr="008B04DE" w:rsidRDefault="00654707" w:rsidP="000B4042">
      <w:pPr>
        <w:pStyle w:val="BMSBodyText"/>
        <w:numPr>
          <w:ilvl w:val="1"/>
          <w:numId w:val="5"/>
        </w:numPr>
        <w:jc w:val="both"/>
      </w:pPr>
      <w:r w:rsidRPr="008B04DE">
        <w:t>The pipe must be fitted with a manually operated pump or with a valve at the delivery end which closes automatically when not in use.</w:t>
      </w:r>
    </w:p>
    <w:p w14:paraId="4560EC46" w14:textId="77777777" w:rsidR="00654707" w:rsidRPr="008B04DE" w:rsidRDefault="00654707" w:rsidP="000B4042">
      <w:pPr>
        <w:pStyle w:val="BMSBodyText"/>
        <w:numPr>
          <w:ilvl w:val="1"/>
          <w:numId w:val="5"/>
        </w:numPr>
        <w:jc w:val="both"/>
      </w:pPr>
      <w:r w:rsidRPr="008B04DE">
        <w:t>The pump or valve must be provided with a lock and locked shut when not in use.</w:t>
      </w:r>
    </w:p>
    <w:p w14:paraId="4560EC47" w14:textId="77777777" w:rsidR="00654707" w:rsidRDefault="00654707" w:rsidP="000B4042">
      <w:pPr>
        <w:pStyle w:val="BMSBodyText"/>
        <w:numPr>
          <w:ilvl w:val="1"/>
          <w:numId w:val="5"/>
        </w:numPr>
        <w:jc w:val="both"/>
      </w:pPr>
      <w:r w:rsidRPr="008B04DE">
        <w:t xml:space="preserve">The pipe must be fitted with a </w:t>
      </w:r>
      <w:r w:rsidR="008B04DE" w:rsidRPr="008B04DE">
        <w:t>lockable valve at the end where it leaves the container and must be locked shut when not in use.</w:t>
      </w:r>
    </w:p>
    <w:p w14:paraId="4560EC48" w14:textId="77777777" w:rsidR="008B04DE" w:rsidRDefault="008B04DE" w:rsidP="0037768A">
      <w:pPr>
        <w:pStyle w:val="BMSBodyText"/>
        <w:jc w:val="both"/>
      </w:pPr>
    </w:p>
    <w:p w14:paraId="4560EC49" w14:textId="77777777" w:rsidR="00B43F6F" w:rsidRPr="00877A62" w:rsidRDefault="0037768A" w:rsidP="0037768A">
      <w:pPr>
        <w:pStyle w:val="BMSBodyText"/>
        <w:jc w:val="both"/>
        <w:rPr>
          <w:b/>
        </w:rPr>
      </w:pPr>
      <w:r w:rsidRPr="00877A62">
        <w:rPr>
          <w:b/>
        </w:rPr>
        <w:t>Requirements for Underground Storage Tanks</w:t>
      </w:r>
    </w:p>
    <w:p w14:paraId="4560EC4A" w14:textId="77777777" w:rsidR="0037768A" w:rsidRDefault="006F7398" w:rsidP="0037768A">
      <w:pPr>
        <w:pStyle w:val="BMSBodyText"/>
        <w:jc w:val="both"/>
      </w:pPr>
      <w:r>
        <w:t xml:space="preserve">As a rule, underground oil storage tanks should not be installed at Balfour Beatty facilities.  If a facility is taken on with an underground storage tank, contact your Environmental Advisor to obtain further advice and to ensure that an adequate level of assurance is put in place (for example, there </w:t>
      </w:r>
      <w:r w:rsidR="00504B5F">
        <w:t xml:space="preserve">may be additional requirements </w:t>
      </w:r>
      <w:r w:rsidR="005A2973">
        <w:t>such as</w:t>
      </w:r>
      <w:r w:rsidR="00504B5F">
        <w:t xml:space="preserve"> carrying out pressure testing of underground storage tanks and associated pipework</w:t>
      </w:r>
      <w:r>
        <w:t>)</w:t>
      </w:r>
      <w:r w:rsidR="00504B5F">
        <w:t>.</w:t>
      </w:r>
    </w:p>
    <w:p w14:paraId="4560EC4B" w14:textId="77777777" w:rsidR="006A0C2D" w:rsidRDefault="006A0C2D" w:rsidP="0037768A">
      <w:pPr>
        <w:pStyle w:val="BMSBodyText"/>
        <w:jc w:val="both"/>
      </w:pPr>
    </w:p>
    <w:p w14:paraId="4560EC4C" w14:textId="77777777" w:rsidR="006A0C2D" w:rsidRPr="00877A62" w:rsidRDefault="006A0C2D" w:rsidP="006A0C2D">
      <w:pPr>
        <w:pStyle w:val="BMSBodyText"/>
        <w:jc w:val="both"/>
        <w:rPr>
          <w:b/>
        </w:rPr>
      </w:pPr>
      <w:r w:rsidRPr="00877A62">
        <w:rPr>
          <w:b/>
        </w:rPr>
        <w:t>Maintenance of Oil Tanks and Containers</w:t>
      </w:r>
    </w:p>
    <w:p w14:paraId="4560EC4D" w14:textId="77777777" w:rsidR="006A0C2D" w:rsidRDefault="006A0C2D" w:rsidP="0037768A">
      <w:pPr>
        <w:pStyle w:val="BMSBodyText"/>
        <w:jc w:val="both"/>
      </w:pPr>
      <w:r>
        <w:t>All oil storage tanks and containers should be maintained and tested in line with the manufacturers’ requirements.</w:t>
      </w:r>
    </w:p>
    <w:p w14:paraId="4560EC4E" w14:textId="77777777" w:rsidR="0037768A" w:rsidRDefault="0037768A" w:rsidP="00186D93">
      <w:pPr>
        <w:pStyle w:val="BMSBodyText"/>
        <w:jc w:val="both"/>
        <w:rPr>
          <w:b/>
        </w:rPr>
      </w:pPr>
    </w:p>
    <w:p w14:paraId="4560EC4F" w14:textId="77777777" w:rsidR="00186D93" w:rsidRPr="00877A62" w:rsidRDefault="00186D93" w:rsidP="00186D93">
      <w:pPr>
        <w:pStyle w:val="BMSBodyText"/>
        <w:jc w:val="both"/>
        <w:rPr>
          <w:b/>
        </w:rPr>
      </w:pPr>
      <w:r w:rsidRPr="00877A62">
        <w:rPr>
          <w:b/>
        </w:rPr>
        <w:t>Refuelling Operations</w:t>
      </w:r>
    </w:p>
    <w:p w14:paraId="4560EC50" w14:textId="454F64A4" w:rsidR="003603DF" w:rsidRDefault="00AD6050" w:rsidP="00654707">
      <w:pPr>
        <w:pStyle w:val="BMSBodyText"/>
        <w:jc w:val="both"/>
      </w:pPr>
      <w:r>
        <w:t xml:space="preserve">Refuelling plant is covered in </w:t>
      </w:r>
      <w:hyperlink r:id="rId14" w:history="1">
        <w:r w:rsidR="00BA5E8D" w:rsidRPr="00D92266">
          <w:rPr>
            <w:rStyle w:val="Hyperlink"/>
          </w:rPr>
          <w:t>HSF-PR-0046</w:t>
        </w:r>
      </w:hyperlink>
      <w:r w:rsidR="00BA5E8D" w:rsidRPr="00D92266">
        <w:t xml:space="preserve"> Plant procedure</w:t>
      </w:r>
      <w:r w:rsidR="00BA5E8D">
        <w:t>.</w:t>
      </w:r>
    </w:p>
    <w:p w14:paraId="4560EC51" w14:textId="77777777" w:rsidR="006A0C2D" w:rsidRDefault="006A0C2D" w:rsidP="00654707">
      <w:pPr>
        <w:pStyle w:val="BMSBodyText"/>
        <w:jc w:val="both"/>
      </w:pPr>
    </w:p>
    <w:p w14:paraId="4560EC52" w14:textId="77777777" w:rsidR="00455A64" w:rsidRPr="00877A62" w:rsidRDefault="00455A64" w:rsidP="00455A64">
      <w:pPr>
        <w:pStyle w:val="BMSBodyText"/>
        <w:jc w:val="both"/>
        <w:rPr>
          <w:b/>
        </w:rPr>
      </w:pPr>
      <w:r w:rsidRPr="00877A62">
        <w:rPr>
          <w:b/>
        </w:rPr>
        <w:t>Monitoring</w:t>
      </w:r>
    </w:p>
    <w:p w14:paraId="4560EC53" w14:textId="77777777" w:rsidR="00141681" w:rsidRDefault="00314987" w:rsidP="00455A64">
      <w:pPr>
        <w:pStyle w:val="BMSBodyText"/>
        <w:jc w:val="both"/>
      </w:pPr>
      <w:r>
        <w:t>Weekly</w:t>
      </w:r>
      <w:r w:rsidR="005A2973">
        <w:t xml:space="preserve"> inspections of oil storage areas should be undertaken to ensure that tanks, bowsers, containers and bund</w:t>
      </w:r>
      <w:r w:rsidR="00141681">
        <w:t>s are legally compliant and in a serviceable con</w:t>
      </w:r>
      <w:r w:rsidR="00877A62">
        <w:t>d</w:t>
      </w:r>
      <w:r w:rsidR="00141681">
        <w:t>ition</w:t>
      </w:r>
      <w:r w:rsidR="005A2973">
        <w:t xml:space="preserve">. </w:t>
      </w:r>
      <w:r w:rsidR="00141681">
        <w:t xml:space="preserve">  The following forms can be used to aid this process:</w:t>
      </w:r>
    </w:p>
    <w:p w14:paraId="4560EC54" w14:textId="6FB1F8FA" w:rsidR="00141681" w:rsidRPr="00D92266" w:rsidRDefault="00141681" w:rsidP="00455A64">
      <w:pPr>
        <w:pStyle w:val="BMSBodyText"/>
        <w:jc w:val="both"/>
      </w:pPr>
      <w:r>
        <w:lastRenderedPageBreak/>
        <w:tab/>
      </w:r>
      <w:hyperlink r:id="rId15" w:history="1">
        <w:r w:rsidRPr="00D92266">
          <w:rPr>
            <w:rStyle w:val="Hyperlink"/>
          </w:rPr>
          <w:t>ENV-SF-0007a</w:t>
        </w:r>
      </w:hyperlink>
      <w:r w:rsidRPr="00D92266">
        <w:t xml:space="preserve"> </w:t>
      </w:r>
      <w:r w:rsidR="00D74F92" w:rsidRPr="00D92266">
        <w:t xml:space="preserve">Basic </w:t>
      </w:r>
      <w:r w:rsidRPr="00D92266">
        <w:t>Oil Storage Monitoring Form</w:t>
      </w:r>
    </w:p>
    <w:p w14:paraId="4560EC55" w14:textId="5ECB7FC1" w:rsidR="00141681" w:rsidRPr="00D92266" w:rsidRDefault="00141681" w:rsidP="00455A64">
      <w:pPr>
        <w:pStyle w:val="BMSBodyText"/>
        <w:jc w:val="both"/>
      </w:pPr>
      <w:r w:rsidRPr="00D92266">
        <w:tab/>
      </w:r>
      <w:hyperlink r:id="rId16" w:history="1">
        <w:r w:rsidRPr="00D92266">
          <w:rPr>
            <w:rStyle w:val="Hyperlink"/>
          </w:rPr>
          <w:t>ENV-SF-0007b</w:t>
        </w:r>
      </w:hyperlink>
      <w:r w:rsidRPr="00D92266">
        <w:t xml:space="preserve"> Detailed checklist for storage and management of more than 200 litres of oil</w:t>
      </w:r>
    </w:p>
    <w:p w14:paraId="4560EC56" w14:textId="716FF79F" w:rsidR="005A2973" w:rsidRDefault="005A2973" w:rsidP="00455A64">
      <w:pPr>
        <w:pStyle w:val="BMSBodyText"/>
        <w:jc w:val="both"/>
      </w:pPr>
      <w:r w:rsidRPr="00D92266">
        <w:t xml:space="preserve"> </w:t>
      </w:r>
      <w:r w:rsidR="00141681" w:rsidRPr="00D92266">
        <w:tab/>
      </w:r>
      <w:hyperlink r:id="rId17" w:history="1">
        <w:r w:rsidR="00141681" w:rsidRPr="00D92266">
          <w:rPr>
            <w:rStyle w:val="Hyperlink"/>
          </w:rPr>
          <w:t>ENV-SF-0007c</w:t>
        </w:r>
      </w:hyperlink>
      <w:r w:rsidR="00141681" w:rsidRPr="00D92266">
        <w:t xml:space="preserve"> Detailed checklist for storage and management of less than 200 litres of oil</w:t>
      </w:r>
    </w:p>
    <w:p w14:paraId="4560EC57" w14:textId="77777777" w:rsidR="005A2973" w:rsidRDefault="005A2973" w:rsidP="00455A64">
      <w:pPr>
        <w:pStyle w:val="BMSBodyText"/>
        <w:jc w:val="both"/>
      </w:pPr>
    </w:p>
    <w:p w14:paraId="4560EC58" w14:textId="77777777" w:rsidR="005A2973" w:rsidRDefault="005A2973" w:rsidP="00455A64">
      <w:pPr>
        <w:pStyle w:val="BMSBodyText"/>
        <w:jc w:val="both"/>
      </w:pPr>
      <w:r>
        <w:t xml:space="preserve">Monitoring the amount of oil being used can help to identify a leak.  If an unexpected increase occurs, investigate, as this may be an indication of a leak.  Undertake surveillance of the general area around the tank to see if there is any residual oil, as again, this may be indicative of a leak.  Check pipes, mechanical joints and other parts of the system for evidence of corrosion in order to avoid a release.  </w:t>
      </w:r>
    </w:p>
    <w:p w14:paraId="4560EC59" w14:textId="77777777" w:rsidR="00C37735" w:rsidRDefault="00C37735" w:rsidP="00C37735">
      <w:pPr>
        <w:pStyle w:val="BMSBodyText"/>
        <w:jc w:val="both"/>
        <w:rPr>
          <w:b/>
        </w:rPr>
      </w:pPr>
    </w:p>
    <w:p w14:paraId="4560EC5A" w14:textId="77777777" w:rsidR="00C37735" w:rsidRDefault="00C37735" w:rsidP="00C37735">
      <w:pPr>
        <w:pStyle w:val="BMSBodyText"/>
        <w:jc w:val="both"/>
      </w:pPr>
      <w:r>
        <w:t xml:space="preserve">Where fuel has been stored on permeable ground and contamination is present, soil analysis </w:t>
      </w:r>
      <w:r w:rsidR="00C217E5">
        <w:t xml:space="preserve">must </w:t>
      </w:r>
      <w:r>
        <w:t xml:space="preserve">be undertaken prior to the removal of contaminated ground.  </w:t>
      </w:r>
      <w:r w:rsidR="00655F1E">
        <w:t>Following removal, c</w:t>
      </w:r>
      <w:r>
        <w:t xml:space="preserve">onsideration should be made to making the area impermeable with an </w:t>
      </w:r>
      <w:r w:rsidR="00877A62">
        <w:t>asphalt</w:t>
      </w:r>
      <w:r>
        <w:t xml:space="preserve"> or concrete base</w:t>
      </w:r>
      <w:r w:rsidR="00877A62">
        <w:t>.</w:t>
      </w:r>
    </w:p>
    <w:p w14:paraId="4560EC5B" w14:textId="77777777" w:rsidR="00877A62" w:rsidRDefault="00877A62" w:rsidP="00455A64">
      <w:pPr>
        <w:pStyle w:val="BMSBodyText"/>
        <w:jc w:val="both"/>
        <w:rPr>
          <w:b/>
          <w:u w:val="single"/>
        </w:rPr>
      </w:pPr>
    </w:p>
    <w:p w14:paraId="4560EC5C" w14:textId="77777777" w:rsidR="00455A64" w:rsidRPr="00877A62" w:rsidRDefault="00455A64" w:rsidP="00455A64">
      <w:pPr>
        <w:pStyle w:val="BMSBodyText"/>
        <w:jc w:val="both"/>
        <w:rPr>
          <w:b/>
        </w:rPr>
      </w:pPr>
      <w:r w:rsidRPr="00877A62">
        <w:rPr>
          <w:b/>
        </w:rPr>
        <w:t>Tank Installation and Decommissioning</w:t>
      </w:r>
    </w:p>
    <w:p w14:paraId="4560EC5D" w14:textId="77777777" w:rsidR="00455A64" w:rsidRDefault="00455A64" w:rsidP="00455A64">
      <w:pPr>
        <w:pStyle w:val="BMSBodyText"/>
        <w:jc w:val="both"/>
      </w:pPr>
      <w:r>
        <w:t>When installing an oil tank on site, use technicians who are registered with a professional scheme such as the one operated by OFTEC.  All tanks must be marked up with their capacity and type of product they contain.</w:t>
      </w:r>
    </w:p>
    <w:p w14:paraId="4560EC5E" w14:textId="77777777" w:rsidR="00455A64" w:rsidRDefault="00455A64" w:rsidP="00455A64">
      <w:pPr>
        <w:pStyle w:val="BMSBodyText"/>
        <w:jc w:val="both"/>
      </w:pPr>
    </w:p>
    <w:p w14:paraId="4560EC5F" w14:textId="77777777" w:rsidR="00CF2006" w:rsidRDefault="00455A64" w:rsidP="00455A64">
      <w:pPr>
        <w:pStyle w:val="BMSBodyText"/>
        <w:jc w:val="both"/>
      </w:pPr>
      <w:r>
        <w:t>When decommissioning, ensure that the tank is fully drained before it is taken out of use or removed.  Suitabl</w:t>
      </w:r>
      <w:r w:rsidR="00877A62">
        <w:t>y</w:t>
      </w:r>
      <w:r>
        <w:t xml:space="preserve"> qualified technicians should undertake this work.  After decommissioning or removal, check the area to ensure the procedure has not caused significant oil or groundwater contamination (this includes taking soil and groundwater samples</w:t>
      </w:r>
      <w:r w:rsidR="00877A62">
        <w:t xml:space="preserve"> as needed</w:t>
      </w:r>
      <w:r>
        <w:t xml:space="preserve">).  If contamination is found, </w:t>
      </w:r>
      <w:proofErr w:type="gramStart"/>
      <w:r>
        <w:t>take action</w:t>
      </w:r>
      <w:proofErr w:type="gramEnd"/>
      <w:r>
        <w:t xml:space="preserve"> as soon as possible to remove the pollution.</w:t>
      </w:r>
    </w:p>
    <w:p w14:paraId="4560EC60" w14:textId="77777777" w:rsidR="00455A64" w:rsidRDefault="00455A64" w:rsidP="00654707">
      <w:pPr>
        <w:pStyle w:val="BMSBodyText"/>
        <w:jc w:val="both"/>
      </w:pPr>
    </w:p>
    <w:p w14:paraId="4560EC61" w14:textId="77777777" w:rsidR="003603DF" w:rsidRPr="00A97363" w:rsidRDefault="00DC1067" w:rsidP="003603DF">
      <w:pPr>
        <w:pStyle w:val="BMSBodyText"/>
        <w:jc w:val="both"/>
        <w:rPr>
          <w:b/>
          <w:u w:val="single"/>
        </w:rPr>
      </w:pPr>
      <w:r w:rsidRPr="00A97363">
        <w:rPr>
          <w:b/>
          <w:u w:val="single"/>
        </w:rPr>
        <w:t>Reporting Spills</w:t>
      </w:r>
    </w:p>
    <w:p w14:paraId="4560EC62" w14:textId="60529F2D" w:rsidR="00DC1067" w:rsidRPr="00104C50" w:rsidRDefault="00DC1067" w:rsidP="00DC1067">
      <w:pPr>
        <w:pStyle w:val="BMSBodyText"/>
        <w:spacing w:before="0" w:after="0"/>
      </w:pPr>
      <w:r>
        <w:t xml:space="preserve">Spills should be reported and notified as set out in </w:t>
      </w:r>
      <w:hyperlink r:id="rId18" w:history="1">
        <w:r w:rsidRPr="00D92266">
          <w:rPr>
            <w:rStyle w:val="Hyperlink"/>
          </w:rPr>
          <w:t>HSES-PR-0005</w:t>
        </w:r>
      </w:hyperlink>
      <w:r w:rsidRPr="00D92266">
        <w:t xml:space="preserve"> Incident Reporting and Investigation</w:t>
      </w:r>
      <w:r w:rsidR="00877A62">
        <w:t>.</w:t>
      </w:r>
    </w:p>
    <w:p w14:paraId="4560EC63" w14:textId="77777777" w:rsidR="002D0D62" w:rsidRDefault="002D0D62" w:rsidP="00D565AF">
      <w:pPr>
        <w:pStyle w:val="BMSBodyText"/>
        <w:jc w:val="both"/>
      </w:pPr>
    </w:p>
    <w:p w14:paraId="4560EC64" w14:textId="77777777" w:rsidR="002D0D62" w:rsidRPr="000C58F6" w:rsidRDefault="000C58F6" w:rsidP="00D565AF">
      <w:pPr>
        <w:pStyle w:val="BMSBodyText"/>
        <w:jc w:val="both"/>
        <w:rPr>
          <w:b/>
          <w:u w:val="single"/>
        </w:rPr>
      </w:pPr>
      <w:r>
        <w:rPr>
          <w:b/>
          <w:u w:val="single"/>
        </w:rPr>
        <w:t>Site Plans</w:t>
      </w:r>
    </w:p>
    <w:p w14:paraId="4560EC65" w14:textId="77777777" w:rsidR="008F38FD" w:rsidRDefault="00E05189" w:rsidP="00D565AF">
      <w:pPr>
        <w:pStyle w:val="BMSBodyText"/>
        <w:jc w:val="both"/>
      </w:pPr>
      <w:r>
        <w:t>The location of oil and liquid storage</w:t>
      </w:r>
      <w:r w:rsidR="00C217E5">
        <w:t>, spill kits, surface and foul drains</w:t>
      </w:r>
      <w:r>
        <w:t xml:space="preserve"> </w:t>
      </w:r>
      <w:r w:rsidR="00C217E5">
        <w:t xml:space="preserve">and water courses (rivers, streams, canals, lakes etc.) </w:t>
      </w:r>
      <w:r>
        <w:t xml:space="preserve">should be shown on </w:t>
      </w:r>
      <w:r w:rsidR="000C58F6">
        <w:t xml:space="preserve">site plans </w:t>
      </w:r>
      <w:r>
        <w:t>(or equivalent)</w:t>
      </w:r>
      <w:r w:rsidR="00877A62">
        <w:t>.</w:t>
      </w:r>
    </w:p>
    <w:p w14:paraId="4560EC66" w14:textId="77777777" w:rsidR="006A0C2D" w:rsidRDefault="006A0C2D" w:rsidP="00D565AF">
      <w:pPr>
        <w:pStyle w:val="BMSBodyText"/>
        <w:jc w:val="both"/>
      </w:pPr>
    </w:p>
    <w:p w14:paraId="4560EC67" w14:textId="77777777" w:rsidR="006A0C2D" w:rsidRPr="00A97363" w:rsidRDefault="006A0C2D" w:rsidP="006A0C2D">
      <w:pPr>
        <w:pStyle w:val="BMSBodyText"/>
        <w:jc w:val="both"/>
        <w:rPr>
          <w:b/>
          <w:u w:val="single"/>
        </w:rPr>
      </w:pPr>
      <w:r w:rsidRPr="00A97363">
        <w:rPr>
          <w:b/>
          <w:u w:val="single"/>
        </w:rPr>
        <w:t>Plant and Machinery</w:t>
      </w:r>
    </w:p>
    <w:p w14:paraId="4560EC68" w14:textId="77777777" w:rsidR="006A0C2D" w:rsidRDefault="006A0C2D" w:rsidP="006A0C2D">
      <w:pPr>
        <w:pStyle w:val="BMSBodyText"/>
        <w:jc w:val="both"/>
      </w:pPr>
      <w:r>
        <w:t xml:space="preserve">All plant and machinery shall be maintained as per the supplier’s instructions and inspected for any signs of leakage of fuel, engine oil, hydraulic oil etc. and ensuring that exhausts are intact. Any signs of leakage </w:t>
      </w:r>
      <w:r w:rsidR="00877A62">
        <w:t>must</w:t>
      </w:r>
      <w:r>
        <w:t xml:space="preserve"> be reported to the site manager and actions taken to repair.</w:t>
      </w:r>
    </w:p>
    <w:p w14:paraId="4560EC69" w14:textId="77777777" w:rsidR="00B825E1" w:rsidRDefault="00B825E1" w:rsidP="006A0C2D">
      <w:pPr>
        <w:pStyle w:val="BMSBodyText"/>
        <w:jc w:val="both"/>
      </w:pPr>
    </w:p>
    <w:p w14:paraId="4560EC6A" w14:textId="77777777" w:rsidR="00141681" w:rsidRPr="000C58F6" w:rsidRDefault="00141681" w:rsidP="00141681">
      <w:pPr>
        <w:pStyle w:val="BMSBodyText"/>
        <w:jc w:val="both"/>
        <w:rPr>
          <w:b/>
          <w:u w:val="single"/>
        </w:rPr>
      </w:pPr>
      <w:r w:rsidRPr="000C58F6">
        <w:rPr>
          <w:b/>
          <w:u w:val="single"/>
        </w:rPr>
        <w:t>Waste Oil</w:t>
      </w:r>
    </w:p>
    <w:p w14:paraId="4560EC6B" w14:textId="4F242177" w:rsidR="00141681" w:rsidRDefault="00141681" w:rsidP="006A0C2D">
      <w:pPr>
        <w:pStyle w:val="BMSBodyText"/>
        <w:jc w:val="both"/>
      </w:pPr>
      <w:r>
        <w:t xml:space="preserve">The storage of waste oil may require </w:t>
      </w:r>
      <w:r w:rsidR="00CB4C42">
        <w:t xml:space="preserve">additional </w:t>
      </w:r>
      <w:r w:rsidR="00877A62">
        <w:t xml:space="preserve">permission </w:t>
      </w:r>
      <w:r>
        <w:t xml:space="preserve">from the relevant regulator as set out in </w:t>
      </w:r>
      <w:hyperlink r:id="rId19" w:history="1">
        <w:r w:rsidR="008A421C" w:rsidRPr="008A421C">
          <w:rPr>
            <w:rStyle w:val="Hyperlink"/>
          </w:rPr>
          <w:t>ENV-RM-0039a</w:t>
        </w:r>
        <w:r w:rsidR="00877A62" w:rsidRPr="008A421C">
          <w:rPr>
            <w:rStyle w:val="Hyperlink"/>
          </w:rPr>
          <w:t xml:space="preserve"> Waste </w:t>
        </w:r>
        <w:r w:rsidR="008A421C" w:rsidRPr="008A421C">
          <w:rPr>
            <w:rStyle w:val="Hyperlink"/>
          </w:rPr>
          <w:t>Management Licences, Permits and Exemptions</w:t>
        </w:r>
      </w:hyperlink>
      <w:r w:rsidR="008A421C">
        <w:t xml:space="preserve"> and </w:t>
      </w:r>
      <w:hyperlink r:id="rId20" w:history="1">
        <w:r w:rsidR="008A421C" w:rsidRPr="008A421C">
          <w:rPr>
            <w:rStyle w:val="Hyperlink"/>
          </w:rPr>
          <w:t>ENV-RM-0039b Common Regulatory Position Statements, Waste Exemptions and Permits</w:t>
        </w:r>
      </w:hyperlink>
      <w:r w:rsidR="008A421C">
        <w:t>.</w:t>
      </w:r>
    </w:p>
    <w:p w14:paraId="4560EC6C" w14:textId="77777777" w:rsidR="000C58F6" w:rsidRDefault="000C58F6" w:rsidP="00D565AF">
      <w:pPr>
        <w:pStyle w:val="BMSBodyText"/>
        <w:jc w:val="both"/>
        <w:rPr>
          <w:b/>
        </w:rPr>
      </w:pPr>
    </w:p>
    <w:p w14:paraId="4560EC6D" w14:textId="77777777" w:rsidR="008B75FC" w:rsidRDefault="006A0C2D" w:rsidP="00D565AF">
      <w:pPr>
        <w:pStyle w:val="BMSBodyText"/>
        <w:jc w:val="both"/>
        <w:rPr>
          <w:b/>
          <w:u w:val="single"/>
        </w:rPr>
      </w:pPr>
      <w:r>
        <w:rPr>
          <w:b/>
          <w:u w:val="single"/>
        </w:rPr>
        <w:t>Supplementary</w:t>
      </w:r>
      <w:r w:rsidR="008B75FC" w:rsidRPr="000C58F6">
        <w:rPr>
          <w:b/>
          <w:u w:val="single"/>
        </w:rPr>
        <w:t xml:space="preserve"> Information</w:t>
      </w:r>
    </w:p>
    <w:p w14:paraId="4560EC6E" w14:textId="77777777" w:rsidR="00ED0A61" w:rsidRDefault="00ED0A61" w:rsidP="00D565AF">
      <w:pPr>
        <w:pStyle w:val="BMSBodyText"/>
        <w:jc w:val="both"/>
      </w:pPr>
      <w:r>
        <w:t xml:space="preserve">The Oil Care Campaign provides information on ‘Getting to know your oil tank’ at </w:t>
      </w:r>
      <w:hyperlink r:id="rId21" w:history="1">
        <w:r w:rsidRPr="008A220E">
          <w:rPr>
            <w:rStyle w:val="Hyperlink"/>
          </w:rPr>
          <w:t>http://oilcare.org.uk/look-after-your-oil/gtkyot/</w:t>
        </w:r>
      </w:hyperlink>
    </w:p>
    <w:p w14:paraId="4560EC6F" w14:textId="77777777" w:rsidR="00ED0A61" w:rsidRPr="000C58F6" w:rsidRDefault="00ED0A61" w:rsidP="00D565AF">
      <w:pPr>
        <w:pStyle w:val="BMSBodyText"/>
        <w:jc w:val="both"/>
        <w:rPr>
          <w:b/>
          <w:u w:val="single"/>
        </w:rPr>
      </w:pPr>
    </w:p>
    <w:p w14:paraId="4560EC70" w14:textId="1F1FDD6A" w:rsidR="00984A6B" w:rsidRDefault="000C58F6" w:rsidP="00984A6B">
      <w:pPr>
        <w:spacing w:after="60"/>
      </w:pPr>
      <w:r>
        <w:t>England, Northern Ireland, Scotland and Wales have their own regulations concerning the storage of waste oil.  Although broadly similar, individual country requirements</w:t>
      </w:r>
      <w:r w:rsidR="00DA6D51">
        <w:t xml:space="preserve"> do differ and </w:t>
      </w:r>
      <w:r>
        <w:t xml:space="preserve">should be checked using the </w:t>
      </w:r>
      <w:r>
        <w:lastRenderedPageBreak/>
        <w:t>links below</w:t>
      </w:r>
      <w:r w:rsidR="00DA6D51">
        <w:t xml:space="preserve">.   </w:t>
      </w:r>
      <w:r w:rsidR="00984A6B">
        <w:t xml:space="preserve">More detail around what the regulations do and don’t cover in each country is set out in </w:t>
      </w:r>
      <w:hyperlink r:id="rId22" w:history="1">
        <w:r w:rsidR="00984A6B" w:rsidRPr="009D77DC">
          <w:rPr>
            <w:rStyle w:val="Hyperlink"/>
          </w:rPr>
          <w:t>Above Ground Oil Storage Tanks: GPP2.</w:t>
        </w:r>
      </w:hyperlink>
    </w:p>
    <w:p w14:paraId="4560EC71" w14:textId="77777777" w:rsidR="006A0C2D" w:rsidRDefault="006A0C2D" w:rsidP="00D565AF">
      <w:pPr>
        <w:pStyle w:val="BMSBodyText"/>
        <w:jc w:val="both"/>
        <w:rPr>
          <w:b/>
        </w:rPr>
      </w:pPr>
    </w:p>
    <w:p w14:paraId="4560EC72" w14:textId="77777777" w:rsidR="00226FEE" w:rsidRDefault="00226FEE" w:rsidP="00D565AF">
      <w:pPr>
        <w:pStyle w:val="BMSBodyText"/>
        <w:jc w:val="both"/>
        <w:rPr>
          <w:u w:val="single"/>
        </w:rPr>
      </w:pPr>
    </w:p>
    <w:p w14:paraId="4560EC73" w14:textId="77777777" w:rsidR="00226FEE" w:rsidRDefault="00226FEE" w:rsidP="00D565AF">
      <w:pPr>
        <w:pStyle w:val="BMSBodyText"/>
        <w:jc w:val="both"/>
        <w:rPr>
          <w:u w:val="single"/>
        </w:rPr>
      </w:pPr>
    </w:p>
    <w:p w14:paraId="4560EC74" w14:textId="77777777" w:rsidR="000334D9" w:rsidRDefault="008B75FC" w:rsidP="00D565AF">
      <w:pPr>
        <w:pStyle w:val="BMSBodyText"/>
        <w:jc w:val="both"/>
      </w:pPr>
      <w:r w:rsidRPr="00877A62">
        <w:rPr>
          <w:u w:val="single"/>
        </w:rPr>
        <w:t>England</w:t>
      </w:r>
      <w:r w:rsidR="000334D9">
        <w:t xml:space="preserve"> </w:t>
      </w:r>
      <w:r w:rsidR="000334D9" w:rsidRPr="00194624">
        <w:rPr>
          <w:b/>
          <w:color w:val="FF0000"/>
        </w:rPr>
        <w:t>(EN)</w:t>
      </w:r>
    </w:p>
    <w:p w14:paraId="4560EC75" w14:textId="77777777" w:rsidR="008F38FD" w:rsidRDefault="008B75FC" w:rsidP="00D565AF">
      <w:pPr>
        <w:pStyle w:val="BMSBodyText"/>
        <w:jc w:val="both"/>
        <w:rPr>
          <w:rStyle w:val="Hyperlink"/>
        </w:rPr>
      </w:pPr>
      <w:r>
        <w:t xml:space="preserve">Oil Storage Regulations for Businesses </w:t>
      </w:r>
      <w:hyperlink r:id="rId23" w:history="1">
        <w:r w:rsidRPr="0089143F">
          <w:rPr>
            <w:rStyle w:val="Hyperlink"/>
          </w:rPr>
          <w:t>https://www.gov.uk/guidance/storing-oil-at-a-home-or-business</w:t>
        </w:r>
      </w:hyperlink>
    </w:p>
    <w:p w14:paraId="4560EC76" w14:textId="77777777" w:rsidR="00A37D44" w:rsidRDefault="00A37D44" w:rsidP="00D565AF">
      <w:pPr>
        <w:pStyle w:val="BMSBodyText"/>
        <w:jc w:val="both"/>
        <w:rPr>
          <w:rStyle w:val="Hyperlink"/>
        </w:rPr>
      </w:pPr>
    </w:p>
    <w:p w14:paraId="4560EC77" w14:textId="77777777" w:rsidR="00A37D44" w:rsidRPr="00A37D44" w:rsidRDefault="00A37D44" w:rsidP="00D565AF">
      <w:pPr>
        <w:pStyle w:val="BMSBodyText"/>
        <w:jc w:val="both"/>
        <w:rPr>
          <w:rStyle w:val="Hyperlink"/>
          <w:color w:val="auto"/>
          <w:u w:val="none"/>
        </w:rPr>
      </w:pPr>
      <w:r w:rsidRPr="00A37D44">
        <w:rPr>
          <w:rStyle w:val="Hyperlink"/>
          <w:color w:val="auto"/>
          <w:u w:val="none"/>
        </w:rPr>
        <w:t>In</w:t>
      </w:r>
      <w:r>
        <w:rPr>
          <w:rStyle w:val="Hyperlink"/>
          <w:color w:val="auto"/>
          <w:u w:val="none"/>
        </w:rPr>
        <w:t xml:space="preserve"> England, the Oil Storage Regulations cover requirements for </w:t>
      </w:r>
      <w:r w:rsidR="00693A99">
        <w:rPr>
          <w:rStyle w:val="Hyperlink"/>
          <w:color w:val="auto"/>
          <w:u w:val="none"/>
        </w:rPr>
        <w:t>above ground oil storage in containers over 200 litres, unless there is an applicable exemption.  The regulations don’t apply to waste mineral oil storage, oil stored wholly underground or oil stored in buildings (although good practice recommendations are advised).</w:t>
      </w:r>
    </w:p>
    <w:p w14:paraId="4560EC78" w14:textId="77777777" w:rsidR="002A39B5" w:rsidRDefault="002A39B5" w:rsidP="00504B5F">
      <w:pPr>
        <w:spacing w:after="0"/>
        <w:jc w:val="both"/>
        <w:rPr>
          <w:rFonts w:cs="Arial"/>
        </w:rPr>
      </w:pPr>
    </w:p>
    <w:p w14:paraId="4560EC79" w14:textId="77777777" w:rsidR="002A39B5" w:rsidRDefault="00693A99" w:rsidP="00504B5F">
      <w:pPr>
        <w:spacing w:after="0"/>
        <w:jc w:val="both"/>
        <w:rPr>
          <w:rFonts w:cs="Arial"/>
        </w:rPr>
      </w:pPr>
      <w:r>
        <w:rPr>
          <w:rFonts w:cs="Arial"/>
        </w:rPr>
        <w:t xml:space="preserve">Note: </w:t>
      </w:r>
      <w:r w:rsidR="002A39B5">
        <w:rPr>
          <w:rFonts w:cs="Arial"/>
        </w:rPr>
        <w:t>P</w:t>
      </w:r>
      <w:r w:rsidR="00DA6D51">
        <w:rPr>
          <w:rFonts w:cs="Arial"/>
        </w:rPr>
        <w:t>PG 2 was withdrawn by the Envir</w:t>
      </w:r>
      <w:r w:rsidR="002A39B5">
        <w:rPr>
          <w:rFonts w:cs="Arial"/>
        </w:rPr>
        <w:t>onment Agency on 14/12/2015.</w:t>
      </w:r>
    </w:p>
    <w:p w14:paraId="4560EC7A" w14:textId="77777777" w:rsidR="00226FEE" w:rsidRDefault="00226FEE" w:rsidP="00504B5F">
      <w:pPr>
        <w:spacing w:after="0"/>
        <w:jc w:val="both"/>
        <w:rPr>
          <w:rFonts w:cs="Arial"/>
        </w:rPr>
      </w:pPr>
    </w:p>
    <w:p w14:paraId="4560EC7B" w14:textId="77777777" w:rsidR="00226FEE" w:rsidRPr="008074C9" w:rsidRDefault="00226FEE" w:rsidP="00226FEE">
      <w:pPr>
        <w:pStyle w:val="BMSBodyText"/>
        <w:jc w:val="both"/>
      </w:pPr>
      <w:r w:rsidRPr="008074C9">
        <w:t>Building Regulation</w:t>
      </w:r>
      <w:r>
        <w:t xml:space="preserve">s must be met where required.  </w:t>
      </w:r>
      <w:r w:rsidRPr="008074C9">
        <w:t>In England, Approved Document J of the Building Regulations provides guidance on how to meet Building Regulations for fuel storage systems.</w:t>
      </w:r>
    </w:p>
    <w:p w14:paraId="4560EC7C" w14:textId="77777777" w:rsidR="00226FEE" w:rsidRDefault="00C92EED" w:rsidP="00226FEE">
      <w:pPr>
        <w:pStyle w:val="BMSBodyText"/>
        <w:rPr>
          <w:color w:val="FF0000"/>
        </w:rPr>
      </w:pPr>
      <w:hyperlink r:id="rId24" w:history="1">
        <w:r w:rsidR="00226FEE" w:rsidRPr="00AB1404">
          <w:rPr>
            <w:rStyle w:val="Hyperlink"/>
          </w:rPr>
          <w:t>https://www.gov.uk/government/publications/combustion-appliances-and-fuel-storage-systems-approved-document-j</w:t>
        </w:r>
      </w:hyperlink>
      <w:r w:rsidR="00226FEE">
        <w:rPr>
          <w:color w:val="FF0000"/>
        </w:rPr>
        <w:t xml:space="preserve"> </w:t>
      </w:r>
    </w:p>
    <w:p w14:paraId="4560EC7D" w14:textId="77777777" w:rsidR="00877A62" w:rsidRDefault="00877A62" w:rsidP="00504B5F">
      <w:pPr>
        <w:spacing w:after="0"/>
        <w:jc w:val="both"/>
        <w:rPr>
          <w:rFonts w:cs="Arial"/>
          <w:u w:val="single"/>
        </w:rPr>
      </w:pPr>
    </w:p>
    <w:p w14:paraId="4560EC7E" w14:textId="77777777" w:rsidR="00877A62" w:rsidRDefault="00504B5F" w:rsidP="00877A62">
      <w:pPr>
        <w:spacing w:after="0"/>
        <w:jc w:val="both"/>
        <w:rPr>
          <w:b/>
          <w:color w:val="548DD4" w:themeColor="text2" w:themeTint="99"/>
        </w:rPr>
      </w:pPr>
      <w:r w:rsidRPr="002A39B5">
        <w:rPr>
          <w:rFonts w:cs="Arial"/>
          <w:u w:val="single"/>
        </w:rPr>
        <w:t xml:space="preserve">Scotland </w:t>
      </w:r>
      <w:r w:rsidRPr="00877A62">
        <w:rPr>
          <w:b/>
          <w:color w:val="548DD4" w:themeColor="text2" w:themeTint="99"/>
        </w:rPr>
        <w:t>(S)</w:t>
      </w:r>
    </w:p>
    <w:p w14:paraId="4560EC7F" w14:textId="77777777" w:rsidR="00693A99" w:rsidRPr="00877A62" w:rsidRDefault="008B75FC" w:rsidP="00877A62">
      <w:pPr>
        <w:spacing w:after="0"/>
        <w:jc w:val="both"/>
        <w:rPr>
          <w:rStyle w:val="Hyperlink"/>
          <w:b/>
          <w:color w:val="00B050"/>
          <w:u w:val="none"/>
        </w:rPr>
      </w:pPr>
      <w:r>
        <w:t xml:space="preserve">Scottish oil Storage Regulations </w:t>
      </w:r>
      <w:hyperlink r:id="rId25" w:history="1">
        <w:r w:rsidRPr="0089143F">
          <w:rPr>
            <w:rStyle w:val="Hyperlink"/>
          </w:rPr>
          <w:t>https://www.sepa.org.uk/regulations/water/pollution-control/scottish-oil-storage-regulations/</w:t>
        </w:r>
      </w:hyperlink>
      <w:r w:rsidR="00693A99">
        <w:rPr>
          <w:rStyle w:val="Hyperlink"/>
          <w:u w:val="none"/>
        </w:rPr>
        <w:t xml:space="preserve">.  </w:t>
      </w:r>
    </w:p>
    <w:p w14:paraId="4560EC80" w14:textId="77777777" w:rsidR="006943A6" w:rsidRPr="006943A6" w:rsidRDefault="00693A99" w:rsidP="00226FEE">
      <w:pPr>
        <w:pStyle w:val="BMSBodyText"/>
        <w:spacing w:before="240"/>
        <w:jc w:val="both"/>
        <w:rPr>
          <w:rStyle w:val="Hyperlink"/>
        </w:rPr>
      </w:pPr>
      <w:r>
        <w:rPr>
          <w:rStyle w:val="Hyperlink"/>
          <w:color w:val="auto"/>
          <w:u w:val="none"/>
        </w:rPr>
        <w:t>In Scotland, the Oil Storage Regulations apply to all above ground oil storage (although portable containers with a capacity of less than 200 litres don’t have to comply with some of the more prescriptive requirements of the Regulations such as secondary containment</w:t>
      </w:r>
      <w:r w:rsidR="00877A62">
        <w:rPr>
          <w:rStyle w:val="Hyperlink"/>
          <w:color w:val="auto"/>
          <w:u w:val="none"/>
        </w:rPr>
        <w:t xml:space="preserve">.  </w:t>
      </w:r>
      <w:proofErr w:type="gramStart"/>
      <w:r w:rsidR="00877A62">
        <w:rPr>
          <w:rStyle w:val="Hyperlink"/>
          <w:color w:val="auto"/>
          <w:u w:val="none"/>
        </w:rPr>
        <w:t>However</w:t>
      </w:r>
      <w:proofErr w:type="gramEnd"/>
      <w:r>
        <w:rPr>
          <w:rStyle w:val="Hyperlink"/>
          <w:color w:val="auto"/>
          <w:u w:val="none"/>
        </w:rPr>
        <w:t xml:space="preserve"> they must be strong enough not to leak in ordinary use). </w:t>
      </w:r>
      <w:r w:rsidR="006943A6" w:rsidRPr="006943A6">
        <w:rPr>
          <w:rStyle w:val="Hyperlink"/>
          <w:color w:val="auto"/>
          <w:u w:val="none"/>
        </w:rPr>
        <w:t xml:space="preserve">The Regulations </w:t>
      </w:r>
      <w:r>
        <w:rPr>
          <w:rStyle w:val="Hyperlink"/>
          <w:color w:val="auto"/>
          <w:u w:val="none"/>
        </w:rPr>
        <w:t>don’t apply to</w:t>
      </w:r>
      <w:r w:rsidR="006943A6">
        <w:rPr>
          <w:rStyle w:val="Hyperlink"/>
          <w:color w:val="auto"/>
          <w:u w:val="none"/>
        </w:rPr>
        <w:t xml:space="preserve"> </w:t>
      </w:r>
      <w:r w:rsidR="00DA6D51">
        <w:rPr>
          <w:rStyle w:val="Hyperlink"/>
          <w:color w:val="auto"/>
          <w:u w:val="none"/>
        </w:rPr>
        <w:t>oil stored</w:t>
      </w:r>
      <w:r>
        <w:rPr>
          <w:rStyle w:val="Hyperlink"/>
          <w:color w:val="auto"/>
          <w:u w:val="none"/>
        </w:rPr>
        <w:t xml:space="preserve"> wholly</w:t>
      </w:r>
      <w:r w:rsidR="00DA6D51">
        <w:rPr>
          <w:rStyle w:val="Hyperlink"/>
          <w:color w:val="auto"/>
          <w:u w:val="none"/>
        </w:rPr>
        <w:t xml:space="preserve"> underground, unless it’s in a building.</w:t>
      </w:r>
    </w:p>
    <w:p w14:paraId="4560EC81" w14:textId="77777777" w:rsidR="00A37D44" w:rsidRDefault="006943A6" w:rsidP="00D565AF">
      <w:pPr>
        <w:pStyle w:val="BMSBodyText"/>
        <w:jc w:val="both"/>
        <w:rPr>
          <w:rStyle w:val="Hyperlink"/>
        </w:rPr>
      </w:pPr>
      <w:r>
        <w:rPr>
          <w:rStyle w:val="Hyperlink"/>
        </w:rPr>
        <w:t xml:space="preserve"> </w:t>
      </w:r>
    </w:p>
    <w:p w14:paraId="4560EC82" w14:textId="101812BD" w:rsidR="006943A6" w:rsidRDefault="00C92EED" w:rsidP="006943A6">
      <w:pPr>
        <w:spacing w:after="60"/>
      </w:pPr>
      <w:hyperlink r:id="rId26" w:history="1">
        <w:r w:rsidR="006943A6" w:rsidRPr="009D77DC">
          <w:rPr>
            <w:rStyle w:val="Hyperlink"/>
          </w:rPr>
          <w:t>Above Ground Oil Storage Tanks: GPP2</w:t>
        </w:r>
      </w:hyperlink>
    </w:p>
    <w:p w14:paraId="4560EC83" w14:textId="77777777" w:rsidR="00226FEE" w:rsidRDefault="00226FEE" w:rsidP="00226FEE">
      <w:pPr>
        <w:pStyle w:val="BMSBodyText"/>
        <w:jc w:val="both"/>
      </w:pPr>
    </w:p>
    <w:p w14:paraId="4560EC84" w14:textId="77777777" w:rsidR="00226FEE" w:rsidRDefault="00226FEE" w:rsidP="00226FEE">
      <w:pPr>
        <w:pStyle w:val="BMSBodyText"/>
        <w:jc w:val="both"/>
      </w:pPr>
      <w:r>
        <w:t>SEPA expect visual checks to be carried out at least weekly and would encourage tank checks to become part of a routine maintenance schedule.</w:t>
      </w:r>
    </w:p>
    <w:p w14:paraId="4560EC85" w14:textId="77777777" w:rsidR="00226FEE" w:rsidRPr="00226FEE" w:rsidRDefault="00226FEE" w:rsidP="00226FEE">
      <w:pPr>
        <w:pStyle w:val="BMSBodyText"/>
        <w:jc w:val="both"/>
      </w:pPr>
    </w:p>
    <w:p w14:paraId="4560EC86" w14:textId="77777777" w:rsidR="00226FEE" w:rsidRPr="008074C9" w:rsidRDefault="00226FEE" w:rsidP="00226FEE">
      <w:pPr>
        <w:pStyle w:val="BMSBodyText"/>
        <w:jc w:val="both"/>
      </w:pPr>
      <w:r w:rsidRPr="008074C9">
        <w:t>Building Regulation</w:t>
      </w:r>
      <w:r>
        <w:t xml:space="preserve">s must be met where required.    </w:t>
      </w:r>
      <w:r w:rsidRPr="008074C9">
        <w:t>In Scotland, the Non-Domestic Environment Technical Handbook provides guidance on how to meet Building Standards for fuel storage.</w:t>
      </w:r>
    </w:p>
    <w:p w14:paraId="4560EC87" w14:textId="77777777" w:rsidR="00226FEE" w:rsidRDefault="00C92EED" w:rsidP="00226FEE">
      <w:pPr>
        <w:pStyle w:val="BMSBodyText"/>
        <w:rPr>
          <w:color w:val="FF0000"/>
        </w:rPr>
      </w:pPr>
      <w:hyperlink r:id="rId27" w:history="1">
        <w:r w:rsidR="00226FEE" w:rsidRPr="00AB1404">
          <w:rPr>
            <w:rStyle w:val="Hyperlink"/>
          </w:rPr>
          <w:t>http://www.gov.scot/Resource/0050/00501012.pdf</w:t>
        </w:r>
      </w:hyperlink>
      <w:r w:rsidR="00226FEE">
        <w:rPr>
          <w:color w:val="FF0000"/>
        </w:rPr>
        <w:t xml:space="preserve"> </w:t>
      </w:r>
    </w:p>
    <w:p w14:paraId="4560EC88" w14:textId="77777777" w:rsidR="008B75FC" w:rsidRDefault="008B75FC" w:rsidP="00D565AF">
      <w:pPr>
        <w:pStyle w:val="BMSBodyText"/>
        <w:jc w:val="both"/>
      </w:pPr>
    </w:p>
    <w:p w14:paraId="4560EC89" w14:textId="77777777" w:rsidR="00226FEE" w:rsidRDefault="00226FEE" w:rsidP="00D565AF">
      <w:pPr>
        <w:pStyle w:val="BMSBodyText"/>
        <w:jc w:val="both"/>
      </w:pPr>
    </w:p>
    <w:p w14:paraId="4560EC8A" w14:textId="77777777" w:rsidR="00504B5F" w:rsidRPr="002A39B5" w:rsidRDefault="00205970" w:rsidP="00504B5F">
      <w:pPr>
        <w:spacing w:after="60"/>
        <w:rPr>
          <w:b/>
          <w:color w:val="00B050"/>
          <w:u w:val="single"/>
        </w:rPr>
      </w:pPr>
      <w:r w:rsidRPr="002A39B5">
        <w:rPr>
          <w:u w:val="single"/>
        </w:rPr>
        <w:t>Wales</w:t>
      </w:r>
      <w:r w:rsidR="00504B5F" w:rsidRPr="002A39B5">
        <w:rPr>
          <w:u w:val="single"/>
        </w:rPr>
        <w:t xml:space="preserve"> </w:t>
      </w:r>
      <w:r w:rsidR="00504B5F" w:rsidRPr="00877A62">
        <w:rPr>
          <w:b/>
          <w:color w:val="00B050"/>
        </w:rPr>
        <w:t>(W)</w:t>
      </w:r>
    </w:p>
    <w:p w14:paraId="4560EC8B" w14:textId="3942FEAA" w:rsidR="006943A6" w:rsidRDefault="00C92EED" w:rsidP="00504B5F">
      <w:pPr>
        <w:spacing w:after="60"/>
        <w:rPr>
          <w:rStyle w:val="Hyperlink"/>
          <w:color w:val="auto"/>
          <w:u w:val="none"/>
        </w:rPr>
      </w:pPr>
      <w:hyperlink r:id="rId28" w:history="1">
        <w:r w:rsidR="00205970" w:rsidRPr="009D77DC">
          <w:rPr>
            <w:rStyle w:val="Hyperlink"/>
          </w:rPr>
          <w:t>Welsh Government Keeping your oil storage safe, guidance on the Water Resources (Control of Pollution) (Oil Storage) (Wales) Regulations 2016</w:t>
        </w:r>
      </w:hyperlink>
      <w:r w:rsidR="00205970" w:rsidRPr="009D77DC">
        <w:t>.</w:t>
      </w:r>
      <w:r w:rsidR="00295642">
        <w:t xml:space="preserve">  </w:t>
      </w:r>
      <w:r w:rsidR="00295642" w:rsidRPr="006943A6">
        <w:rPr>
          <w:rStyle w:val="Hyperlink"/>
          <w:color w:val="auto"/>
          <w:u w:val="none"/>
        </w:rPr>
        <w:t xml:space="preserve">The Regulations </w:t>
      </w:r>
      <w:r w:rsidR="00DA6D51">
        <w:rPr>
          <w:rStyle w:val="Hyperlink"/>
          <w:color w:val="auto"/>
          <w:u w:val="none"/>
        </w:rPr>
        <w:t xml:space="preserve">cover </w:t>
      </w:r>
      <w:r w:rsidR="00693A99">
        <w:rPr>
          <w:rStyle w:val="Hyperlink"/>
          <w:color w:val="auto"/>
          <w:u w:val="none"/>
        </w:rPr>
        <w:t xml:space="preserve">above ground oil storage in containers </w:t>
      </w:r>
      <w:r w:rsidR="00A300CA">
        <w:rPr>
          <w:rStyle w:val="Hyperlink"/>
          <w:color w:val="auto"/>
          <w:u w:val="none"/>
        </w:rPr>
        <w:t xml:space="preserve">over 200 litres, waste oil storage and oil stored in buildings.  </w:t>
      </w:r>
      <w:r w:rsidR="00DA6D51">
        <w:rPr>
          <w:rStyle w:val="Hyperlink"/>
          <w:color w:val="auto"/>
          <w:u w:val="none"/>
        </w:rPr>
        <w:t xml:space="preserve">They </w:t>
      </w:r>
      <w:r w:rsidR="00A300CA">
        <w:rPr>
          <w:rStyle w:val="Hyperlink"/>
          <w:color w:val="auto"/>
          <w:u w:val="none"/>
        </w:rPr>
        <w:t>don’</w:t>
      </w:r>
      <w:r w:rsidR="00295642" w:rsidRPr="006943A6">
        <w:rPr>
          <w:rStyle w:val="Hyperlink"/>
          <w:color w:val="auto"/>
          <w:u w:val="none"/>
        </w:rPr>
        <w:t xml:space="preserve">t </w:t>
      </w:r>
      <w:r w:rsidR="00295642">
        <w:rPr>
          <w:rStyle w:val="Hyperlink"/>
          <w:color w:val="auto"/>
          <w:u w:val="none"/>
        </w:rPr>
        <w:t xml:space="preserve">cover requirements for </w:t>
      </w:r>
      <w:r w:rsidR="00DA6D51">
        <w:rPr>
          <w:rStyle w:val="Hyperlink"/>
          <w:color w:val="auto"/>
          <w:u w:val="none"/>
        </w:rPr>
        <w:t>oil stored</w:t>
      </w:r>
      <w:r w:rsidR="00A300CA">
        <w:rPr>
          <w:rStyle w:val="Hyperlink"/>
          <w:color w:val="auto"/>
          <w:u w:val="none"/>
        </w:rPr>
        <w:t xml:space="preserve"> wholly</w:t>
      </w:r>
      <w:r w:rsidR="00DA6D51">
        <w:rPr>
          <w:rStyle w:val="Hyperlink"/>
          <w:color w:val="auto"/>
          <w:u w:val="none"/>
        </w:rPr>
        <w:t xml:space="preserve"> underground, unless it’s in a building.  There is a phased implementation of the O</w:t>
      </w:r>
      <w:r w:rsidR="00A300CA">
        <w:rPr>
          <w:rStyle w:val="Hyperlink"/>
          <w:color w:val="auto"/>
          <w:u w:val="none"/>
        </w:rPr>
        <w:t>il Storage Regulations in Wales:</w:t>
      </w:r>
    </w:p>
    <w:p w14:paraId="4560EC8C" w14:textId="77777777" w:rsidR="00A300CA" w:rsidRDefault="00A300CA" w:rsidP="00504B5F">
      <w:pPr>
        <w:spacing w:after="60"/>
        <w:rPr>
          <w:rStyle w:val="Hyperlink"/>
          <w:color w:val="auto"/>
          <w:u w:val="none"/>
        </w:rPr>
      </w:pPr>
    </w:p>
    <w:p w14:paraId="4560EC8D" w14:textId="77777777" w:rsidR="00A300CA" w:rsidRDefault="00A300CA" w:rsidP="00A300CA">
      <w:pPr>
        <w:spacing w:after="60"/>
      </w:pPr>
      <w:r>
        <w:lastRenderedPageBreak/>
        <w:t>All non-exempt oil storage in Wales:</w:t>
      </w:r>
    </w:p>
    <w:p w14:paraId="4560EC8E" w14:textId="77777777" w:rsidR="00A300CA" w:rsidRPr="00A300CA" w:rsidRDefault="00A300CA" w:rsidP="00A300CA">
      <w:pPr>
        <w:pStyle w:val="ListParagraph"/>
        <w:numPr>
          <w:ilvl w:val="0"/>
          <w:numId w:val="17"/>
        </w:numPr>
        <w:spacing w:after="60"/>
        <w:rPr>
          <w:rFonts w:ascii="Arial" w:hAnsi="Arial" w:cs="Arial"/>
        </w:rPr>
      </w:pPr>
      <w:r w:rsidRPr="00A300CA">
        <w:rPr>
          <w:rFonts w:ascii="Arial" w:hAnsi="Arial" w:cs="Arial"/>
        </w:rPr>
        <w:t>Installed after 15 March 2016 must comply with the Control of Pollution (Oil Storage) (Wales) Regulations 2016</w:t>
      </w:r>
    </w:p>
    <w:p w14:paraId="4560EC8F" w14:textId="77777777" w:rsidR="00A300CA" w:rsidRPr="00A300CA" w:rsidRDefault="00A300CA" w:rsidP="00A300CA">
      <w:pPr>
        <w:pStyle w:val="ListParagraph"/>
        <w:numPr>
          <w:ilvl w:val="0"/>
          <w:numId w:val="17"/>
        </w:numPr>
        <w:spacing w:after="60"/>
        <w:rPr>
          <w:rFonts w:ascii="Arial" w:hAnsi="Arial" w:cs="Arial"/>
        </w:rPr>
      </w:pPr>
      <w:r w:rsidRPr="00A300CA">
        <w:rPr>
          <w:rFonts w:ascii="Arial" w:hAnsi="Arial" w:cs="Arial"/>
        </w:rPr>
        <w:t>Installed before 15 March 2016 and within 10 metres of any waterway or 50 metres of any well, spring or borehole must comply by 15 March 2018</w:t>
      </w:r>
    </w:p>
    <w:p w14:paraId="4560EC90" w14:textId="77777777" w:rsidR="00A300CA" w:rsidRPr="00A300CA" w:rsidRDefault="00A300CA" w:rsidP="00A300CA">
      <w:pPr>
        <w:pStyle w:val="ListParagraph"/>
        <w:numPr>
          <w:ilvl w:val="0"/>
          <w:numId w:val="17"/>
        </w:numPr>
        <w:spacing w:after="60"/>
        <w:rPr>
          <w:rFonts w:ascii="Arial" w:hAnsi="Arial" w:cs="Arial"/>
        </w:rPr>
      </w:pPr>
      <w:r w:rsidRPr="00A300CA">
        <w:rPr>
          <w:rFonts w:ascii="Arial" w:hAnsi="Arial" w:cs="Arial"/>
        </w:rPr>
        <w:t>Installed before 15 March 2016 must comply by 15 March 2020.</w:t>
      </w:r>
    </w:p>
    <w:p w14:paraId="4560EC91" w14:textId="77777777" w:rsidR="00DA6D51" w:rsidRDefault="00DA6D51" w:rsidP="00504B5F">
      <w:pPr>
        <w:spacing w:after="60"/>
      </w:pPr>
    </w:p>
    <w:p w14:paraId="4560EC92" w14:textId="3CAE7F28" w:rsidR="006943A6" w:rsidRDefault="00C92EED" w:rsidP="00504B5F">
      <w:pPr>
        <w:spacing w:after="60"/>
      </w:pPr>
      <w:hyperlink r:id="rId29" w:history="1">
        <w:r w:rsidR="006943A6" w:rsidRPr="009D77DC">
          <w:rPr>
            <w:rStyle w:val="Hyperlink"/>
          </w:rPr>
          <w:t>Above Ground Oil Storage Tanks: GPP2</w:t>
        </w:r>
      </w:hyperlink>
    </w:p>
    <w:p w14:paraId="4560EC93" w14:textId="77777777" w:rsidR="00226FEE" w:rsidRDefault="00226FEE" w:rsidP="00504B5F">
      <w:pPr>
        <w:spacing w:after="60"/>
      </w:pPr>
    </w:p>
    <w:p w14:paraId="4560EC94" w14:textId="77777777" w:rsidR="00226FEE" w:rsidRPr="008074C9" w:rsidRDefault="00226FEE" w:rsidP="00226FEE">
      <w:pPr>
        <w:pStyle w:val="BMSBodyText"/>
        <w:jc w:val="both"/>
      </w:pPr>
      <w:r w:rsidRPr="008074C9">
        <w:t>Building Regulation</w:t>
      </w:r>
      <w:r>
        <w:t>s must be met where required.  In</w:t>
      </w:r>
      <w:r w:rsidRPr="008074C9">
        <w:t xml:space="preserve"> Wales, Approved Document J of the Building Regulations provides guidance on how to meet Building Regulations for fuel storage systems.</w:t>
      </w:r>
    </w:p>
    <w:p w14:paraId="4560EC95" w14:textId="77777777" w:rsidR="00226FEE" w:rsidRDefault="00C92EED" w:rsidP="00226FEE">
      <w:pPr>
        <w:pStyle w:val="BMSBodyText"/>
        <w:rPr>
          <w:color w:val="FF0000"/>
        </w:rPr>
      </w:pPr>
      <w:hyperlink r:id="rId30" w:history="1">
        <w:r w:rsidR="00226FEE" w:rsidRPr="00AB1404">
          <w:rPr>
            <w:rStyle w:val="Hyperlink"/>
          </w:rPr>
          <w:t>https://www.gov.uk/government/publications/combustion-appliances-and-fuel-storage-systems-approved-document-j</w:t>
        </w:r>
      </w:hyperlink>
      <w:r w:rsidR="00226FEE">
        <w:rPr>
          <w:color w:val="FF0000"/>
        </w:rPr>
        <w:t xml:space="preserve"> </w:t>
      </w:r>
    </w:p>
    <w:p w14:paraId="4560EC96" w14:textId="77777777" w:rsidR="008B75FC" w:rsidRDefault="008B75FC" w:rsidP="00D565AF">
      <w:pPr>
        <w:pStyle w:val="BMSBodyText"/>
        <w:jc w:val="both"/>
      </w:pPr>
    </w:p>
    <w:p w14:paraId="4560EC97" w14:textId="77777777" w:rsidR="00504B5F" w:rsidRPr="002A39B5" w:rsidRDefault="00504B5F" w:rsidP="00504B5F">
      <w:pPr>
        <w:spacing w:after="0"/>
        <w:rPr>
          <w:b/>
          <w:color w:val="E36C0A" w:themeColor="accent6" w:themeShade="BF"/>
          <w:u w:val="single"/>
        </w:rPr>
      </w:pPr>
      <w:r w:rsidRPr="002A39B5">
        <w:rPr>
          <w:rFonts w:cs="Arial"/>
          <w:u w:val="single"/>
        </w:rPr>
        <w:t xml:space="preserve">Northern Ireland </w:t>
      </w:r>
      <w:r w:rsidRPr="00877A62">
        <w:rPr>
          <w:b/>
          <w:color w:val="E36C0A" w:themeColor="accent6" w:themeShade="BF"/>
        </w:rPr>
        <w:t>(NI)</w:t>
      </w:r>
    </w:p>
    <w:p w14:paraId="4560EC98" w14:textId="77777777" w:rsidR="008B75FC" w:rsidRPr="008B75FC" w:rsidRDefault="00205970" w:rsidP="00504B5F">
      <w:pPr>
        <w:spacing w:after="0"/>
      </w:pPr>
      <w:r>
        <w:t xml:space="preserve">Oil Storage Regulations regarding the design, location, construction of above ground oil storage facilities </w:t>
      </w:r>
      <w:hyperlink r:id="rId31" w:history="1">
        <w:r w:rsidR="00295642" w:rsidRPr="0039578B">
          <w:rPr>
            <w:rStyle w:val="Hyperlink"/>
          </w:rPr>
          <w:t>https://www.daera-ni.gov.uk/articles/oil-storage</w:t>
        </w:r>
      </w:hyperlink>
      <w:r w:rsidR="00295642">
        <w:rPr>
          <w:rStyle w:val="Hyperlink"/>
          <w:color w:val="auto"/>
          <w:u w:val="none"/>
        </w:rPr>
        <w:t xml:space="preserve">.  </w:t>
      </w:r>
      <w:r w:rsidR="00DA6D51">
        <w:rPr>
          <w:rStyle w:val="Hyperlink"/>
          <w:color w:val="auto"/>
          <w:u w:val="none"/>
        </w:rPr>
        <w:t xml:space="preserve">The regulations </w:t>
      </w:r>
      <w:r w:rsidR="00693A99">
        <w:rPr>
          <w:rStyle w:val="Hyperlink"/>
          <w:color w:val="auto"/>
          <w:u w:val="none"/>
        </w:rPr>
        <w:t xml:space="preserve">cover above ground oil storage in containers over 200 </w:t>
      </w:r>
      <w:r w:rsidR="00693A99" w:rsidRPr="00693A99">
        <w:rPr>
          <w:rStyle w:val="Hyperlink"/>
          <w:color w:val="auto"/>
          <w:u w:val="none"/>
        </w:rPr>
        <w:t>litres</w:t>
      </w:r>
      <w:r w:rsidR="00693A99">
        <w:rPr>
          <w:rStyle w:val="Hyperlink"/>
          <w:color w:val="auto"/>
          <w:u w:val="none"/>
        </w:rPr>
        <w:t xml:space="preserve">, waste oil storage and oil stored in buildings.  </w:t>
      </w:r>
      <w:r w:rsidR="00DA6D51">
        <w:rPr>
          <w:rStyle w:val="Hyperlink"/>
          <w:color w:val="auto"/>
          <w:u w:val="none"/>
        </w:rPr>
        <w:t xml:space="preserve">They don’t </w:t>
      </w:r>
      <w:r w:rsidR="00295642">
        <w:rPr>
          <w:rStyle w:val="Hyperlink"/>
          <w:color w:val="auto"/>
          <w:u w:val="none"/>
        </w:rPr>
        <w:t xml:space="preserve">cover </w:t>
      </w:r>
      <w:r w:rsidR="00DA6D51">
        <w:rPr>
          <w:rStyle w:val="Hyperlink"/>
          <w:color w:val="auto"/>
          <w:u w:val="none"/>
        </w:rPr>
        <w:t>oil stored underground.</w:t>
      </w:r>
      <w:r>
        <w:t xml:space="preserve"> </w:t>
      </w:r>
    </w:p>
    <w:p w14:paraId="4560EC99" w14:textId="77777777" w:rsidR="008F38FD" w:rsidRDefault="008F38FD" w:rsidP="00D565AF">
      <w:pPr>
        <w:pStyle w:val="BMSBodyText"/>
        <w:jc w:val="both"/>
      </w:pPr>
    </w:p>
    <w:p w14:paraId="4560EC9A" w14:textId="5F21C8F9" w:rsidR="006943A6" w:rsidRDefault="00C92EED" w:rsidP="006943A6">
      <w:pPr>
        <w:spacing w:after="60"/>
      </w:pPr>
      <w:hyperlink r:id="rId32" w:history="1">
        <w:r w:rsidR="006943A6" w:rsidRPr="009D77DC">
          <w:rPr>
            <w:rStyle w:val="Hyperlink"/>
          </w:rPr>
          <w:t>Above Ground Oil Storage Tanks: GPP2</w:t>
        </w:r>
      </w:hyperlink>
    </w:p>
    <w:p w14:paraId="4560EC9B" w14:textId="77777777" w:rsidR="00226FEE" w:rsidRDefault="00226FEE" w:rsidP="006943A6">
      <w:pPr>
        <w:spacing w:after="60"/>
      </w:pPr>
    </w:p>
    <w:p w14:paraId="4560EC9C" w14:textId="77777777" w:rsidR="00226FEE" w:rsidRPr="008074C9" w:rsidRDefault="00226FEE" w:rsidP="00226FEE">
      <w:pPr>
        <w:pStyle w:val="BMSBodyText"/>
        <w:jc w:val="both"/>
      </w:pPr>
      <w:r w:rsidRPr="008074C9">
        <w:t>Building Regulation</w:t>
      </w:r>
      <w:r>
        <w:t>s must be met where required.  I</w:t>
      </w:r>
      <w:r w:rsidRPr="008074C9">
        <w:t>n Northern Ireland, Technical Booklet L of the Northern Ireland Building Regulations provides guidance on how to meet Building Regulations for fuel storage systems.</w:t>
      </w:r>
    </w:p>
    <w:p w14:paraId="4560EC9D" w14:textId="77777777" w:rsidR="00D74F92" w:rsidRDefault="00C92EED" w:rsidP="003B7A23">
      <w:pPr>
        <w:pStyle w:val="BMSBodyText"/>
        <w:rPr>
          <w:color w:val="FF0000"/>
        </w:rPr>
      </w:pPr>
      <w:hyperlink r:id="rId33" w:history="1">
        <w:r w:rsidR="00226FEE" w:rsidRPr="00AB1404">
          <w:rPr>
            <w:rStyle w:val="Hyperlink"/>
          </w:rPr>
          <w:t>http://www.buildingcontrol-ni.com/assets/pdf/TechnicalBookletL2012.pdf</w:t>
        </w:r>
      </w:hyperlink>
      <w:r w:rsidR="00226FEE">
        <w:rPr>
          <w:color w:val="FF0000"/>
        </w:rPr>
        <w:t xml:space="preserve"> </w:t>
      </w:r>
    </w:p>
    <w:p w14:paraId="4560EC9E" w14:textId="77777777" w:rsidR="003B7A23" w:rsidRPr="003B7A23" w:rsidRDefault="003B7A23" w:rsidP="003B7A23">
      <w:pPr>
        <w:pStyle w:val="BMSBodyText"/>
        <w:rPr>
          <w:color w:val="FF0000"/>
        </w:rPr>
      </w:pPr>
    </w:p>
    <w:p w14:paraId="4560EC9F" w14:textId="77777777" w:rsidR="00D74F92" w:rsidRDefault="00D74F92" w:rsidP="00D74F92">
      <w:pPr>
        <w:pStyle w:val="BMSBodyText"/>
        <w:rPr>
          <w:b/>
        </w:rPr>
      </w:pPr>
      <w:r>
        <w:rPr>
          <w:b/>
        </w:rPr>
        <w:t>UK Documentation</w:t>
      </w:r>
    </w:p>
    <w:tbl>
      <w:tblPr>
        <w:tblStyle w:val="TableGrid"/>
        <w:tblW w:w="0" w:type="auto"/>
        <w:tblLook w:val="04A0" w:firstRow="1" w:lastRow="0" w:firstColumn="1" w:lastColumn="0" w:noHBand="0" w:noVBand="1"/>
      </w:tblPr>
      <w:tblGrid>
        <w:gridCol w:w="2676"/>
        <w:gridCol w:w="2676"/>
        <w:gridCol w:w="2676"/>
      </w:tblGrid>
      <w:tr w:rsidR="00D74F92" w:rsidRPr="00CD7E13" w14:paraId="4560ECA3" w14:textId="77777777" w:rsidTr="001047F0">
        <w:trPr>
          <w:trHeight w:val="201"/>
        </w:trPr>
        <w:tc>
          <w:tcPr>
            <w:tcW w:w="2676" w:type="dxa"/>
          </w:tcPr>
          <w:p w14:paraId="4560ECA0" w14:textId="77777777" w:rsidR="00D74F92" w:rsidRDefault="00D74F92" w:rsidP="001047F0">
            <w:pPr>
              <w:pStyle w:val="BMSBodyText"/>
            </w:pPr>
            <w:r>
              <w:rPr>
                <w:b/>
              </w:rPr>
              <w:t>Reference</w:t>
            </w:r>
          </w:p>
        </w:tc>
        <w:tc>
          <w:tcPr>
            <w:tcW w:w="2676" w:type="dxa"/>
          </w:tcPr>
          <w:p w14:paraId="4560ECA1" w14:textId="77777777" w:rsidR="00D74F92" w:rsidRDefault="00D74F92" w:rsidP="001047F0">
            <w:pPr>
              <w:pStyle w:val="BMSBodyText"/>
            </w:pPr>
            <w:r>
              <w:rPr>
                <w:b/>
              </w:rPr>
              <w:t>Type</w:t>
            </w:r>
          </w:p>
        </w:tc>
        <w:tc>
          <w:tcPr>
            <w:tcW w:w="2676" w:type="dxa"/>
          </w:tcPr>
          <w:p w14:paraId="4560ECA2" w14:textId="77777777" w:rsidR="00D74F92" w:rsidRDefault="00D74F92" w:rsidP="001047F0">
            <w:pPr>
              <w:pStyle w:val="BMSBodyText"/>
            </w:pPr>
            <w:r>
              <w:rPr>
                <w:b/>
              </w:rPr>
              <w:t>Title</w:t>
            </w:r>
          </w:p>
        </w:tc>
      </w:tr>
      <w:tr w:rsidR="00D74F92" w:rsidRPr="00CD7E13" w14:paraId="4560ECA7" w14:textId="77777777" w:rsidTr="001047F0">
        <w:trPr>
          <w:trHeight w:val="201"/>
        </w:trPr>
        <w:tc>
          <w:tcPr>
            <w:tcW w:w="2676" w:type="dxa"/>
          </w:tcPr>
          <w:p w14:paraId="4560ECA4" w14:textId="159845C9" w:rsidR="00D74F92" w:rsidRDefault="00C92EED" w:rsidP="001047F0">
            <w:pPr>
              <w:pStyle w:val="BMSBodyText"/>
            </w:pPr>
            <w:hyperlink r:id="rId34" w:history="1">
              <w:r w:rsidR="00D74F92" w:rsidRPr="00EC4C30">
                <w:rPr>
                  <w:rStyle w:val="Hyperlink"/>
                </w:rPr>
                <w:t>ENV-RM-0007b</w:t>
              </w:r>
            </w:hyperlink>
          </w:p>
        </w:tc>
        <w:tc>
          <w:tcPr>
            <w:tcW w:w="2676" w:type="dxa"/>
          </w:tcPr>
          <w:p w14:paraId="4560ECA5" w14:textId="77777777" w:rsidR="00D74F92" w:rsidRDefault="00D74F92" w:rsidP="001047F0">
            <w:pPr>
              <w:pStyle w:val="BMSBodyText"/>
            </w:pPr>
            <w:r>
              <w:t>Reference Material</w:t>
            </w:r>
          </w:p>
        </w:tc>
        <w:tc>
          <w:tcPr>
            <w:tcW w:w="2676" w:type="dxa"/>
          </w:tcPr>
          <w:p w14:paraId="4560ECA6" w14:textId="77777777" w:rsidR="00D74F92" w:rsidRDefault="00D74F92" w:rsidP="001047F0">
            <w:pPr>
              <w:pStyle w:val="BMSBodyText"/>
            </w:pPr>
            <w:r>
              <w:t>Training Material – Fuel storage – Continual Environment &amp; Sustainability Improvement</w:t>
            </w:r>
          </w:p>
        </w:tc>
      </w:tr>
      <w:tr w:rsidR="00D74F92" w:rsidRPr="00CD7E13" w14:paraId="4560ECAB" w14:textId="77777777" w:rsidTr="001047F0">
        <w:trPr>
          <w:trHeight w:val="201"/>
        </w:trPr>
        <w:tc>
          <w:tcPr>
            <w:tcW w:w="2676" w:type="dxa"/>
          </w:tcPr>
          <w:p w14:paraId="4560ECA8" w14:textId="02758A58" w:rsidR="00D74F92" w:rsidRDefault="00C92EED" w:rsidP="001047F0">
            <w:pPr>
              <w:pStyle w:val="BMSBodyText"/>
            </w:pPr>
            <w:hyperlink r:id="rId35" w:history="1">
              <w:r w:rsidR="00D74F92" w:rsidRPr="00EC4C30">
                <w:rPr>
                  <w:rStyle w:val="Hyperlink"/>
                </w:rPr>
                <w:t>ENV-SF-0007a</w:t>
              </w:r>
            </w:hyperlink>
          </w:p>
        </w:tc>
        <w:tc>
          <w:tcPr>
            <w:tcW w:w="2676" w:type="dxa"/>
          </w:tcPr>
          <w:p w14:paraId="4560ECA9" w14:textId="77777777" w:rsidR="00D74F92" w:rsidRDefault="00D74F92" w:rsidP="001047F0">
            <w:pPr>
              <w:pStyle w:val="BMSBodyText"/>
            </w:pPr>
            <w:r>
              <w:t>Standard Form</w:t>
            </w:r>
          </w:p>
        </w:tc>
        <w:tc>
          <w:tcPr>
            <w:tcW w:w="2676" w:type="dxa"/>
          </w:tcPr>
          <w:p w14:paraId="4560ECAA" w14:textId="77777777" w:rsidR="00D74F92" w:rsidRDefault="00D74F92" w:rsidP="001047F0">
            <w:pPr>
              <w:pStyle w:val="BMSBodyText"/>
            </w:pPr>
            <w:r>
              <w:t>Basic Oil Storage Monitoring Form</w:t>
            </w:r>
          </w:p>
        </w:tc>
      </w:tr>
      <w:tr w:rsidR="00D74F92" w:rsidRPr="00CD7E13" w14:paraId="4560ECAF" w14:textId="77777777" w:rsidTr="001047F0">
        <w:trPr>
          <w:trHeight w:val="201"/>
        </w:trPr>
        <w:tc>
          <w:tcPr>
            <w:tcW w:w="2676" w:type="dxa"/>
          </w:tcPr>
          <w:p w14:paraId="4560ECAC" w14:textId="0CCD199C" w:rsidR="00D74F92" w:rsidRDefault="00C92EED" w:rsidP="001047F0">
            <w:pPr>
              <w:pStyle w:val="BMSBodyText"/>
            </w:pPr>
            <w:hyperlink r:id="rId36" w:history="1">
              <w:r w:rsidR="00D74F92" w:rsidRPr="00EC4C30">
                <w:rPr>
                  <w:rStyle w:val="Hyperlink"/>
                </w:rPr>
                <w:t>ENV-SF-</w:t>
              </w:r>
              <w:r w:rsidR="00EC4C30" w:rsidRPr="00EC4C30">
                <w:rPr>
                  <w:rStyle w:val="Hyperlink"/>
                </w:rPr>
                <w:t>0</w:t>
              </w:r>
              <w:r w:rsidR="00D74F92" w:rsidRPr="00EC4C30">
                <w:rPr>
                  <w:rStyle w:val="Hyperlink"/>
                </w:rPr>
                <w:t>007b</w:t>
              </w:r>
            </w:hyperlink>
          </w:p>
        </w:tc>
        <w:tc>
          <w:tcPr>
            <w:tcW w:w="2676" w:type="dxa"/>
          </w:tcPr>
          <w:p w14:paraId="4560ECAD" w14:textId="77777777" w:rsidR="00D74F92" w:rsidRDefault="00D74F92" w:rsidP="001047F0">
            <w:pPr>
              <w:pStyle w:val="BMSBodyText"/>
            </w:pPr>
            <w:r>
              <w:t>Standard Form</w:t>
            </w:r>
          </w:p>
        </w:tc>
        <w:tc>
          <w:tcPr>
            <w:tcW w:w="2676" w:type="dxa"/>
          </w:tcPr>
          <w:p w14:paraId="4560ECAE" w14:textId="77777777" w:rsidR="00D74F92" w:rsidRDefault="00D74F92" w:rsidP="001047F0">
            <w:pPr>
              <w:pStyle w:val="BMSBodyText"/>
            </w:pPr>
            <w:r>
              <w:t>Detailed Checklist for Storage and Management of more than 200 litres of oil</w:t>
            </w:r>
          </w:p>
        </w:tc>
      </w:tr>
      <w:tr w:rsidR="00D74F92" w:rsidRPr="00CD7E13" w14:paraId="4560ECB3" w14:textId="77777777" w:rsidTr="001047F0">
        <w:trPr>
          <w:trHeight w:val="201"/>
        </w:trPr>
        <w:tc>
          <w:tcPr>
            <w:tcW w:w="2676" w:type="dxa"/>
          </w:tcPr>
          <w:p w14:paraId="4560ECB0" w14:textId="57A74FBA" w:rsidR="00D74F92" w:rsidRDefault="00C92EED" w:rsidP="001047F0">
            <w:pPr>
              <w:pStyle w:val="BMSBodyText"/>
            </w:pPr>
            <w:hyperlink r:id="rId37" w:history="1">
              <w:r w:rsidR="00D74F92" w:rsidRPr="00EC4C30">
                <w:rPr>
                  <w:rStyle w:val="Hyperlink"/>
                </w:rPr>
                <w:t>ENV-SF-00</w:t>
              </w:r>
              <w:r w:rsidR="00EC4C30" w:rsidRPr="00EC4C30">
                <w:rPr>
                  <w:rStyle w:val="Hyperlink"/>
                </w:rPr>
                <w:t>0</w:t>
              </w:r>
              <w:r w:rsidR="00D74F92" w:rsidRPr="00EC4C30">
                <w:rPr>
                  <w:rStyle w:val="Hyperlink"/>
                </w:rPr>
                <w:t>7c</w:t>
              </w:r>
            </w:hyperlink>
          </w:p>
        </w:tc>
        <w:tc>
          <w:tcPr>
            <w:tcW w:w="2676" w:type="dxa"/>
          </w:tcPr>
          <w:p w14:paraId="4560ECB1" w14:textId="77777777" w:rsidR="00D74F92" w:rsidRDefault="00D74F92" w:rsidP="001047F0">
            <w:pPr>
              <w:pStyle w:val="BMSBodyText"/>
            </w:pPr>
            <w:r>
              <w:t>Standard Form</w:t>
            </w:r>
          </w:p>
        </w:tc>
        <w:tc>
          <w:tcPr>
            <w:tcW w:w="2676" w:type="dxa"/>
          </w:tcPr>
          <w:p w14:paraId="4560ECB2" w14:textId="77777777" w:rsidR="00D74F92" w:rsidRDefault="00D74F92" w:rsidP="00D74F92">
            <w:pPr>
              <w:pStyle w:val="BMSBodyText"/>
            </w:pPr>
            <w:r>
              <w:t>Detailed Checklist for Storage and Management of less than 200 litres of oil</w:t>
            </w:r>
          </w:p>
        </w:tc>
      </w:tr>
      <w:tr w:rsidR="00D74F92" w:rsidRPr="00CD7E13" w14:paraId="4560ECB7" w14:textId="77777777" w:rsidTr="001047F0">
        <w:trPr>
          <w:trHeight w:val="201"/>
        </w:trPr>
        <w:tc>
          <w:tcPr>
            <w:tcW w:w="2676" w:type="dxa"/>
          </w:tcPr>
          <w:p w14:paraId="4560ECB4" w14:textId="2AD235E0" w:rsidR="00D74F92" w:rsidRDefault="00C92EED" w:rsidP="001047F0">
            <w:pPr>
              <w:pStyle w:val="BMSBodyText"/>
            </w:pPr>
            <w:hyperlink r:id="rId38" w:history="1">
              <w:r w:rsidR="00D74F92" w:rsidRPr="00226E32">
                <w:rPr>
                  <w:rStyle w:val="Hyperlink"/>
                </w:rPr>
                <w:t>ENV-TB-0007a</w:t>
              </w:r>
            </w:hyperlink>
          </w:p>
        </w:tc>
        <w:tc>
          <w:tcPr>
            <w:tcW w:w="2676" w:type="dxa"/>
          </w:tcPr>
          <w:p w14:paraId="4560ECB5" w14:textId="77777777" w:rsidR="00D74F92" w:rsidRDefault="00D74F92" w:rsidP="001047F0">
            <w:pPr>
              <w:pStyle w:val="BMSBodyText"/>
            </w:pPr>
            <w:r>
              <w:t>Tool Box Talk</w:t>
            </w:r>
          </w:p>
        </w:tc>
        <w:tc>
          <w:tcPr>
            <w:tcW w:w="2676" w:type="dxa"/>
          </w:tcPr>
          <w:p w14:paraId="4560ECB6" w14:textId="77777777" w:rsidR="00D74F92" w:rsidRDefault="00D74F92" w:rsidP="001047F0">
            <w:pPr>
              <w:pStyle w:val="BMSBodyText"/>
            </w:pPr>
            <w:r>
              <w:t xml:space="preserve">Storage of Fuels, Oils </w:t>
            </w:r>
            <w:r>
              <w:lastRenderedPageBreak/>
              <w:t>and Liquids</w:t>
            </w:r>
          </w:p>
        </w:tc>
      </w:tr>
      <w:tr w:rsidR="009D77DC" w:rsidRPr="00CD7E13" w14:paraId="5F4C14C7" w14:textId="77777777" w:rsidTr="001047F0">
        <w:trPr>
          <w:trHeight w:val="201"/>
        </w:trPr>
        <w:tc>
          <w:tcPr>
            <w:tcW w:w="2676" w:type="dxa"/>
          </w:tcPr>
          <w:p w14:paraId="59460E58" w14:textId="61EFBD17" w:rsidR="009D77DC" w:rsidRDefault="00C92EED" w:rsidP="001047F0">
            <w:pPr>
              <w:pStyle w:val="BMSBodyText"/>
            </w:pPr>
            <w:hyperlink r:id="rId39" w:history="1">
              <w:r w:rsidR="009D77DC" w:rsidRPr="009D77DC">
                <w:rPr>
                  <w:rStyle w:val="Hyperlink"/>
                </w:rPr>
                <w:t>ENV-AD-0007a</w:t>
              </w:r>
            </w:hyperlink>
          </w:p>
        </w:tc>
        <w:tc>
          <w:tcPr>
            <w:tcW w:w="2676" w:type="dxa"/>
          </w:tcPr>
          <w:p w14:paraId="6FA12C9E" w14:textId="6C3E808A" w:rsidR="009D77DC" w:rsidRDefault="009D77DC" w:rsidP="001047F0">
            <w:pPr>
              <w:pStyle w:val="BMSBodyText"/>
            </w:pPr>
            <w:r>
              <w:t>Advice Note</w:t>
            </w:r>
          </w:p>
        </w:tc>
        <w:tc>
          <w:tcPr>
            <w:tcW w:w="2676" w:type="dxa"/>
          </w:tcPr>
          <w:p w14:paraId="1539A3C2" w14:textId="34D60E91" w:rsidR="009D77DC" w:rsidRDefault="009D77DC" w:rsidP="001047F0">
            <w:pPr>
              <w:pStyle w:val="BMSBodyText"/>
            </w:pPr>
            <w:r>
              <w:t>Refuelling Activities on Site</w:t>
            </w:r>
          </w:p>
        </w:tc>
      </w:tr>
      <w:tr w:rsidR="003B7A23" w:rsidRPr="00CD7E13" w14:paraId="4560ECBB" w14:textId="77777777" w:rsidTr="001047F0">
        <w:trPr>
          <w:trHeight w:val="201"/>
        </w:trPr>
        <w:tc>
          <w:tcPr>
            <w:tcW w:w="2676" w:type="dxa"/>
          </w:tcPr>
          <w:p w14:paraId="4560ECB8" w14:textId="143894D6" w:rsidR="003B7A23" w:rsidRDefault="00C92EED" w:rsidP="003B7A23">
            <w:pPr>
              <w:pStyle w:val="BMSBodyText"/>
            </w:pPr>
            <w:hyperlink r:id="rId40" w:history="1">
              <w:r w:rsidR="008A421C" w:rsidRPr="008A421C">
                <w:rPr>
                  <w:rStyle w:val="Hyperlink"/>
                </w:rPr>
                <w:t>ENV-RM-0039a</w:t>
              </w:r>
            </w:hyperlink>
            <w:r w:rsidR="008A421C" w:rsidRPr="008A421C">
              <w:t xml:space="preserve"> </w:t>
            </w:r>
          </w:p>
        </w:tc>
        <w:tc>
          <w:tcPr>
            <w:tcW w:w="2676" w:type="dxa"/>
          </w:tcPr>
          <w:p w14:paraId="4560ECB9" w14:textId="77777777" w:rsidR="003B7A23" w:rsidRDefault="003B7A23" w:rsidP="001047F0">
            <w:pPr>
              <w:pStyle w:val="BMSBodyText"/>
            </w:pPr>
            <w:r>
              <w:t>Reference Material</w:t>
            </w:r>
          </w:p>
        </w:tc>
        <w:tc>
          <w:tcPr>
            <w:tcW w:w="2676" w:type="dxa"/>
          </w:tcPr>
          <w:p w14:paraId="4560ECBA" w14:textId="25D9EF89" w:rsidR="003B7A23" w:rsidRDefault="008A421C" w:rsidP="001047F0">
            <w:pPr>
              <w:pStyle w:val="BMSBodyText"/>
            </w:pPr>
            <w:r>
              <w:t>Waste Management Licences, Permits and Exemptions</w:t>
            </w:r>
          </w:p>
        </w:tc>
      </w:tr>
      <w:tr w:rsidR="008A421C" w:rsidRPr="00CD7E13" w14:paraId="7999B355" w14:textId="77777777" w:rsidTr="001047F0">
        <w:trPr>
          <w:trHeight w:val="201"/>
        </w:trPr>
        <w:tc>
          <w:tcPr>
            <w:tcW w:w="2676" w:type="dxa"/>
          </w:tcPr>
          <w:p w14:paraId="7445DA99" w14:textId="4CB07016" w:rsidR="008A421C" w:rsidRDefault="00C92EED" w:rsidP="008A421C">
            <w:pPr>
              <w:pStyle w:val="BMSBodyText"/>
              <w:rPr>
                <w:b/>
              </w:rPr>
            </w:pPr>
            <w:hyperlink r:id="rId41" w:history="1">
              <w:r w:rsidR="008A421C" w:rsidRPr="008A421C">
                <w:rPr>
                  <w:rStyle w:val="Hyperlink"/>
                </w:rPr>
                <w:t xml:space="preserve">ENV-RM-0039b </w:t>
              </w:r>
            </w:hyperlink>
          </w:p>
          <w:p w14:paraId="66CD780F" w14:textId="77777777" w:rsidR="008A421C" w:rsidRDefault="008A421C" w:rsidP="003B7A23">
            <w:pPr>
              <w:pStyle w:val="BMSBodyText"/>
            </w:pPr>
          </w:p>
        </w:tc>
        <w:tc>
          <w:tcPr>
            <w:tcW w:w="2676" w:type="dxa"/>
          </w:tcPr>
          <w:p w14:paraId="7383CE82" w14:textId="118C129C" w:rsidR="008A421C" w:rsidRPr="003B7A23" w:rsidRDefault="008A421C" w:rsidP="001047F0">
            <w:pPr>
              <w:pStyle w:val="BMSBodyText"/>
            </w:pPr>
            <w:r>
              <w:t>Reference Material</w:t>
            </w:r>
          </w:p>
        </w:tc>
        <w:tc>
          <w:tcPr>
            <w:tcW w:w="2676" w:type="dxa"/>
          </w:tcPr>
          <w:p w14:paraId="2296431F" w14:textId="5B1C485A" w:rsidR="008A421C" w:rsidRPr="008A421C" w:rsidRDefault="008A421C" w:rsidP="001047F0">
            <w:pPr>
              <w:pStyle w:val="BMSBodyText"/>
            </w:pPr>
            <w:r w:rsidRPr="008A421C">
              <w:t>Common Regulatory Position Statements, Waste Exemptions and Permits</w:t>
            </w:r>
          </w:p>
        </w:tc>
      </w:tr>
      <w:tr w:rsidR="003B7A23" w:rsidRPr="00CD7E13" w14:paraId="4560ECBF" w14:textId="77777777" w:rsidTr="001047F0">
        <w:trPr>
          <w:trHeight w:val="201"/>
        </w:trPr>
        <w:tc>
          <w:tcPr>
            <w:tcW w:w="2676" w:type="dxa"/>
          </w:tcPr>
          <w:p w14:paraId="4560ECBC" w14:textId="5350C17C" w:rsidR="003B7A23" w:rsidRPr="003B7A23" w:rsidRDefault="00C92EED" w:rsidP="003B7A23">
            <w:pPr>
              <w:pStyle w:val="BMSBodyText"/>
            </w:pPr>
            <w:hyperlink r:id="rId42" w:history="1">
              <w:r w:rsidR="003B7A23" w:rsidRPr="00226E32">
                <w:rPr>
                  <w:rStyle w:val="Hyperlink"/>
                </w:rPr>
                <w:t>HSES-PR-0005</w:t>
              </w:r>
            </w:hyperlink>
          </w:p>
        </w:tc>
        <w:tc>
          <w:tcPr>
            <w:tcW w:w="2676" w:type="dxa"/>
          </w:tcPr>
          <w:p w14:paraId="4560ECBD" w14:textId="77777777" w:rsidR="003B7A23" w:rsidRPr="003B7A23" w:rsidRDefault="003B7A23" w:rsidP="001047F0">
            <w:pPr>
              <w:pStyle w:val="BMSBodyText"/>
            </w:pPr>
            <w:r w:rsidRPr="003B7A23">
              <w:t>Proce</w:t>
            </w:r>
            <w:r>
              <w:t>d</w:t>
            </w:r>
            <w:r w:rsidRPr="003B7A23">
              <w:t>ure</w:t>
            </w:r>
          </w:p>
        </w:tc>
        <w:tc>
          <w:tcPr>
            <w:tcW w:w="2676" w:type="dxa"/>
          </w:tcPr>
          <w:p w14:paraId="4560ECBE" w14:textId="77777777" w:rsidR="003B7A23" w:rsidRPr="003B7A23" w:rsidRDefault="003B7A23" w:rsidP="001047F0">
            <w:pPr>
              <w:pStyle w:val="BMSBodyText"/>
              <w:rPr>
                <w:b/>
                <w:caps/>
              </w:rPr>
            </w:pPr>
            <w:r w:rsidRPr="003B7A23">
              <w:t>Incident Reporting and Investigation.</w:t>
            </w:r>
          </w:p>
        </w:tc>
      </w:tr>
    </w:tbl>
    <w:p w14:paraId="74F577DA" w14:textId="551A7D4D" w:rsidR="008A421C" w:rsidRDefault="008A421C" w:rsidP="00D74F92">
      <w:pPr>
        <w:pStyle w:val="BMSBodyText"/>
        <w:rPr>
          <w:b/>
        </w:rPr>
      </w:pPr>
    </w:p>
    <w:p w14:paraId="1705E941" w14:textId="77777777" w:rsidR="008A421C" w:rsidRDefault="008A421C" w:rsidP="00D74F92">
      <w:pPr>
        <w:pStyle w:val="BMSBodyText"/>
        <w:rPr>
          <w:b/>
        </w:rPr>
      </w:pPr>
    </w:p>
    <w:p w14:paraId="4560ECC1" w14:textId="77777777" w:rsidR="00D74F92" w:rsidRDefault="00D74F92" w:rsidP="00D74F92">
      <w:pPr>
        <w:pStyle w:val="BMSBodyText"/>
        <w:rPr>
          <w:b/>
        </w:rPr>
      </w:pPr>
      <w:r>
        <w:rPr>
          <w:b/>
        </w:rPr>
        <w:t>External Documentation</w:t>
      </w:r>
    </w:p>
    <w:tbl>
      <w:tblPr>
        <w:tblStyle w:val="TableGrid"/>
        <w:tblW w:w="0" w:type="auto"/>
        <w:tblLook w:val="04A0" w:firstRow="1" w:lastRow="0" w:firstColumn="1" w:lastColumn="0" w:noHBand="0" w:noVBand="1"/>
      </w:tblPr>
      <w:tblGrid>
        <w:gridCol w:w="2676"/>
        <w:gridCol w:w="2676"/>
        <w:gridCol w:w="2676"/>
      </w:tblGrid>
      <w:tr w:rsidR="00D74F92" w:rsidRPr="00CD7E13" w14:paraId="4560ECC5" w14:textId="77777777" w:rsidTr="001047F0">
        <w:trPr>
          <w:trHeight w:val="201"/>
        </w:trPr>
        <w:tc>
          <w:tcPr>
            <w:tcW w:w="2676" w:type="dxa"/>
          </w:tcPr>
          <w:p w14:paraId="4560ECC2" w14:textId="77777777" w:rsidR="00D74F92" w:rsidRDefault="00D74F92" w:rsidP="001047F0">
            <w:pPr>
              <w:pStyle w:val="BMSBodyText"/>
            </w:pPr>
            <w:r>
              <w:rPr>
                <w:b/>
              </w:rPr>
              <w:t>Reference</w:t>
            </w:r>
          </w:p>
        </w:tc>
        <w:tc>
          <w:tcPr>
            <w:tcW w:w="2676" w:type="dxa"/>
          </w:tcPr>
          <w:p w14:paraId="4560ECC3" w14:textId="77777777" w:rsidR="00D74F92" w:rsidRDefault="00D74F92" w:rsidP="001047F0">
            <w:pPr>
              <w:pStyle w:val="BMSBodyText"/>
            </w:pPr>
            <w:r>
              <w:rPr>
                <w:b/>
              </w:rPr>
              <w:t>Type</w:t>
            </w:r>
          </w:p>
        </w:tc>
        <w:tc>
          <w:tcPr>
            <w:tcW w:w="2676" w:type="dxa"/>
          </w:tcPr>
          <w:p w14:paraId="4560ECC4" w14:textId="77777777" w:rsidR="00D74F92" w:rsidRDefault="00D74F92" w:rsidP="001047F0">
            <w:pPr>
              <w:pStyle w:val="BMSBodyText"/>
            </w:pPr>
            <w:r>
              <w:rPr>
                <w:b/>
              </w:rPr>
              <w:t>Title</w:t>
            </w:r>
          </w:p>
        </w:tc>
      </w:tr>
      <w:tr w:rsidR="00D74F92" w:rsidRPr="00CD7E13" w14:paraId="4560ECC9" w14:textId="77777777" w:rsidTr="001047F0">
        <w:trPr>
          <w:trHeight w:val="201"/>
        </w:trPr>
        <w:tc>
          <w:tcPr>
            <w:tcW w:w="2676" w:type="dxa"/>
          </w:tcPr>
          <w:p w14:paraId="4560ECC6" w14:textId="5044F1CA" w:rsidR="00D74F92" w:rsidRDefault="00C92EED" w:rsidP="001047F0">
            <w:pPr>
              <w:pStyle w:val="BMSBodyText"/>
            </w:pPr>
            <w:hyperlink r:id="rId43" w:history="1">
              <w:r w:rsidR="00D74F92" w:rsidRPr="003A01F8">
                <w:rPr>
                  <w:rStyle w:val="Hyperlink"/>
                </w:rPr>
                <w:t>External Document</w:t>
              </w:r>
            </w:hyperlink>
          </w:p>
        </w:tc>
        <w:tc>
          <w:tcPr>
            <w:tcW w:w="2676" w:type="dxa"/>
          </w:tcPr>
          <w:p w14:paraId="4560ECC7" w14:textId="77777777" w:rsidR="00D74F92" w:rsidRDefault="00D74F92" w:rsidP="001047F0">
            <w:pPr>
              <w:pStyle w:val="BMSBodyText"/>
            </w:pPr>
            <w:r>
              <w:t>NIEA / SEPA / NRW</w:t>
            </w:r>
          </w:p>
        </w:tc>
        <w:tc>
          <w:tcPr>
            <w:tcW w:w="2676" w:type="dxa"/>
          </w:tcPr>
          <w:p w14:paraId="4560ECC8" w14:textId="77777777" w:rsidR="00D74F92" w:rsidRDefault="00D74F92" w:rsidP="001047F0">
            <w:pPr>
              <w:pStyle w:val="BMSBodyText"/>
            </w:pPr>
            <w:r>
              <w:t>Above Ground Oil Storage Tanks: GPP2</w:t>
            </w:r>
          </w:p>
        </w:tc>
      </w:tr>
      <w:tr w:rsidR="00D74F92" w:rsidRPr="00CD7E13" w14:paraId="4560ECCD" w14:textId="77777777" w:rsidTr="001047F0">
        <w:trPr>
          <w:trHeight w:val="201"/>
        </w:trPr>
        <w:tc>
          <w:tcPr>
            <w:tcW w:w="2676" w:type="dxa"/>
          </w:tcPr>
          <w:p w14:paraId="4560ECCA" w14:textId="205A8045" w:rsidR="00D74F92" w:rsidRDefault="00C92EED" w:rsidP="001047F0">
            <w:pPr>
              <w:pStyle w:val="BMSBodyText"/>
            </w:pPr>
            <w:hyperlink r:id="rId44" w:history="1">
              <w:r w:rsidR="00D74F92" w:rsidRPr="009D77DC">
                <w:rPr>
                  <w:rStyle w:val="Hyperlink"/>
                </w:rPr>
                <w:t>External Document</w:t>
              </w:r>
            </w:hyperlink>
          </w:p>
        </w:tc>
        <w:tc>
          <w:tcPr>
            <w:tcW w:w="2676" w:type="dxa"/>
          </w:tcPr>
          <w:p w14:paraId="4560ECCB" w14:textId="77777777" w:rsidR="00D74F92" w:rsidRDefault="00D74F92" w:rsidP="001047F0">
            <w:pPr>
              <w:pStyle w:val="BMSBodyText"/>
            </w:pPr>
            <w:r>
              <w:t>Welsh Government</w:t>
            </w:r>
          </w:p>
        </w:tc>
        <w:tc>
          <w:tcPr>
            <w:tcW w:w="2676" w:type="dxa"/>
          </w:tcPr>
          <w:p w14:paraId="4560ECCC" w14:textId="77777777" w:rsidR="00D74F92" w:rsidRDefault="00D74F92" w:rsidP="001047F0">
            <w:pPr>
              <w:pStyle w:val="BMSBodyText"/>
            </w:pPr>
            <w:r>
              <w:t>Keeping your oil storage safe</w:t>
            </w:r>
          </w:p>
        </w:tc>
      </w:tr>
    </w:tbl>
    <w:p w14:paraId="4560ECCE" w14:textId="77777777" w:rsidR="004D1EE6" w:rsidRPr="00CF2006" w:rsidRDefault="004D1EE6" w:rsidP="00CF2006">
      <w:pPr>
        <w:rPr>
          <w:rFonts w:eastAsia="Times New Roman" w:cs="Times New Roman"/>
          <w:lang w:eastAsia="en-US"/>
        </w:rPr>
      </w:pPr>
    </w:p>
    <w:sectPr w:rsidR="004D1EE6" w:rsidRPr="00CF2006" w:rsidSect="006D3E21">
      <w:headerReference w:type="even" r:id="rId45"/>
      <w:headerReference w:type="default" r:id="rId46"/>
      <w:footerReference w:type="default" r:id="rId47"/>
      <w:headerReference w:type="first" r:id="rId48"/>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0ECD1" w14:textId="77777777" w:rsidR="00EE6CC1" w:rsidRDefault="00EE6CC1" w:rsidP="0003527C">
      <w:pPr>
        <w:spacing w:after="0" w:line="240" w:lineRule="auto"/>
      </w:pPr>
      <w:r>
        <w:separator/>
      </w:r>
    </w:p>
  </w:endnote>
  <w:endnote w:type="continuationSeparator" w:id="0">
    <w:p w14:paraId="4560ECD2" w14:textId="77777777" w:rsidR="00EE6CC1" w:rsidRDefault="00EE6CC1"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276"/>
      <w:gridCol w:w="1472"/>
      <w:gridCol w:w="914"/>
      <w:gridCol w:w="694"/>
      <w:gridCol w:w="3866"/>
    </w:tblGrid>
    <w:tr w:rsidR="0037768A" w:rsidRPr="00456050" w14:paraId="4560ECDC" w14:textId="77777777" w:rsidTr="0037768A">
      <w:tc>
        <w:tcPr>
          <w:tcW w:w="2376" w:type="dxa"/>
        </w:tcPr>
        <w:p w14:paraId="4560ECD9" w14:textId="77777777" w:rsidR="0037768A" w:rsidRPr="00456050" w:rsidRDefault="0037768A" w:rsidP="0037768A">
          <w:pPr>
            <w:pStyle w:val="BMSFooterText"/>
            <w:rPr>
              <w:sz w:val="18"/>
            </w:rPr>
          </w:pPr>
          <w:r w:rsidRPr="00456050">
            <w:rPr>
              <w:sz w:val="18"/>
            </w:rPr>
            <w:t xml:space="preserve">Document Authoriser: </w:t>
          </w:r>
        </w:p>
      </w:tc>
      <w:sdt>
        <w:sdtPr>
          <w:rPr>
            <w:sz w:val="18"/>
          </w:rPr>
          <w:alias w:val="Doc Authoriser"/>
          <w:tag w:val="Doc_x0020_Authoriser"/>
          <w:id w:val="-1776319290"/>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356" w:type="dxa"/>
              <w:gridSpan w:val="4"/>
            </w:tcPr>
            <w:p w14:paraId="4560ECDA" w14:textId="1AF96327" w:rsidR="0037768A" w:rsidRPr="00456050" w:rsidRDefault="00170358" w:rsidP="0037768A">
              <w:pPr>
                <w:pStyle w:val="BMSFooterText"/>
                <w:rPr>
                  <w:sz w:val="18"/>
                </w:rPr>
              </w:pPr>
              <w:r>
                <w:rPr>
                  <w:sz w:val="18"/>
                </w:rPr>
                <w:t>Poul Wend Hansen</w:t>
              </w:r>
            </w:p>
          </w:tc>
        </w:sdtContent>
      </w:sdt>
      <w:tc>
        <w:tcPr>
          <w:tcW w:w="3866" w:type="dxa"/>
        </w:tcPr>
        <w:p w14:paraId="4560ECDB" w14:textId="77777777" w:rsidR="0037768A" w:rsidRPr="00456050" w:rsidRDefault="0037768A" w:rsidP="0037768A">
          <w:pPr>
            <w:pStyle w:val="BMSFooterText"/>
            <w:jc w:val="right"/>
            <w:rPr>
              <w:sz w:val="18"/>
            </w:rPr>
          </w:pPr>
          <w:r w:rsidRPr="00456050">
            <w:rPr>
              <w:sz w:val="18"/>
            </w:rPr>
            <w:t>Uncontrolled when printed or downloaded</w:t>
          </w:r>
        </w:p>
      </w:tc>
    </w:tr>
    <w:tr w:rsidR="0037768A" w:rsidRPr="00456050" w14:paraId="4560ECE3" w14:textId="77777777" w:rsidTr="00226E32">
      <w:tc>
        <w:tcPr>
          <w:tcW w:w="2376" w:type="dxa"/>
        </w:tcPr>
        <w:p w14:paraId="4560ECDD" w14:textId="77777777" w:rsidR="0037768A" w:rsidRPr="00456050" w:rsidRDefault="0037768A" w:rsidP="0037768A">
          <w:pPr>
            <w:pStyle w:val="BMSFooterText"/>
            <w:rPr>
              <w:sz w:val="18"/>
            </w:rPr>
          </w:pPr>
          <w:r w:rsidRPr="00456050">
            <w:rPr>
              <w:sz w:val="18"/>
            </w:rPr>
            <w:t xml:space="preserve">Date of Issue: </w:t>
          </w:r>
        </w:p>
      </w:tc>
      <w:sdt>
        <w:sdtPr>
          <w:rPr>
            <w:sz w:val="18"/>
          </w:rPr>
          <w:alias w:val="Issue Date"/>
          <w:tag w:val="Issue_x0020_Date"/>
          <w:id w:val="757329023"/>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8-10-10T00:00:00Z">
            <w:dateFormat w:val="dd/MM/yyyy"/>
            <w:lid w:val="en-GB"/>
            <w:storeMappedDataAs w:val="dateTime"/>
            <w:calendar w:val="gregorian"/>
          </w:date>
        </w:sdtPr>
        <w:sdtEndPr/>
        <w:sdtContent>
          <w:tc>
            <w:tcPr>
              <w:tcW w:w="1276" w:type="dxa"/>
            </w:tcPr>
            <w:p w14:paraId="4560ECDE" w14:textId="3334F2B0" w:rsidR="0037768A" w:rsidRPr="00456050" w:rsidRDefault="00C92EED" w:rsidP="0037768A">
              <w:pPr>
                <w:pStyle w:val="BMSFooterText"/>
                <w:rPr>
                  <w:sz w:val="18"/>
                </w:rPr>
              </w:pPr>
              <w:r>
                <w:rPr>
                  <w:sz w:val="18"/>
                </w:rPr>
                <w:t>10/10/2018</w:t>
              </w:r>
            </w:p>
          </w:tc>
        </w:sdtContent>
      </w:sdt>
      <w:tc>
        <w:tcPr>
          <w:tcW w:w="1472" w:type="dxa"/>
        </w:tcPr>
        <w:p w14:paraId="4560ECDF" w14:textId="77777777" w:rsidR="0037768A" w:rsidRPr="00456050" w:rsidRDefault="0037768A" w:rsidP="0037768A">
          <w:pPr>
            <w:pStyle w:val="BMSFooterText"/>
            <w:rPr>
              <w:sz w:val="18"/>
            </w:rPr>
          </w:pPr>
          <w:r w:rsidRPr="00456050">
            <w:rPr>
              <w:sz w:val="18"/>
            </w:rPr>
            <w:t xml:space="preserve">Page </w:t>
          </w:r>
          <w:r w:rsidRPr="00456050">
            <w:rPr>
              <w:sz w:val="18"/>
            </w:rPr>
            <w:fldChar w:fldCharType="begin"/>
          </w:r>
          <w:r w:rsidRPr="00456050">
            <w:rPr>
              <w:sz w:val="18"/>
            </w:rPr>
            <w:instrText xml:space="preserve"> PAGE  \* Arabic  \* MERGEFORMAT </w:instrText>
          </w:r>
          <w:r w:rsidRPr="00456050">
            <w:rPr>
              <w:sz w:val="18"/>
            </w:rPr>
            <w:fldChar w:fldCharType="separate"/>
          </w:r>
          <w:r w:rsidR="008A421C">
            <w:rPr>
              <w:noProof/>
              <w:sz w:val="18"/>
            </w:rPr>
            <w:t>1</w:t>
          </w:r>
          <w:r w:rsidRPr="00456050">
            <w:rPr>
              <w:sz w:val="18"/>
            </w:rPr>
            <w:fldChar w:fldCharType="end"/>
          </w:r>
          <w:r w:rsidRPr="00456050">
            <w:rPr>
              <w:sz w:val="18"/>
            </w:rPr>
            <w:t xml:space="preserve"> of </w:t>
          </w:r>
          <w:r w:rsidRPr="00456050">
            <w:rPr>
              <w:sz w:val="18"/>
            </w:rPr>
            <w:fldChar w:fldCharType="begin"/>
          </w:r>
          <w:r w:rsidRPr="00456050">
            <w:rPr>
              <w:sz w:val="18"/>
            </w:rPr>
            <w:instrText xml:space="preserve"> NUMPAGES  \* Arabic  \* MERGEFORMAT </w:instrText>
          </w:r>
          <w:r w:rsidRPr="00456050">
            <w:rPr>
              <w:sz w:val="18"/>
            </w:rPr>
            <w:fldChar w:fldCharType="separate"/>
          </w:r>
          <w:r w:rsidR="008A421C">
            <w:rPr>
              <w:noProof/>
              <w:sz w:val="18"/>
            </w:rPr>
            <w:t>11</w:t>
          </w:r>
          <w:r w:rsidRPr="00456050">
            <w:rPr>
              <w:noProof/>
              <w:sz w:val="18"/>
            </w:rPr>
            <w:fldChar w:fldCharType="end"/>
          </w:r>
        </w:p>
      </w:tc>
      <w:tc>
        <w:tcPr>
          <w:tcW w:w="914" w:type="dxa"/>
        </w:tcPr>
        <w:p w14:paraId="4560ECE0" w14:textId="77777777" w:rsidR="0037768A" w:rsidRPr="00456050" w:rsidRDefault="0037768A" w:rsidP="0037768A">
          <w:pPr>
            <w:pStyle w:val="BMSFooterText"/>
            <w:rPr>
              <w:sz w:val="18"/>
            </w:rPr>
          </w:pPr>
          <w:r w:rsidRPr="00456050">
            <w:rPr>
              <w:sz w:val="18"/>
            </w:rPr>
            <w:t xml:space="preserve">Version: </w:t>
          </w:r>
        </w:p>
      </w:tc>
      <w:sdt>
        <w:sdtPr>
          <w:rPr>
            <w:sz w:val="18"/>
          </w:rPr>
          <w:alias w:val="Published Version No."/>
          <w:tag w:val="Published_x0020_Version_x0020_No_x002e_"/>
          <w:id w:val="-959568015"/>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4560ECE1" w14:textId="073B4D0A" w:rsidR="0037768A" w:rsidRPr="00456050" w:rsidRDefault="00C92EED" w:rsidP="0037768A">
              <w:pPr>
                <w:pStyle w:val="BMSFooterText"/>
                <w:rPr>
                  <w:sz w:val="18"/>
                </w:rPr>
              </w:pPr>
              <w:r>
                <w:rPr>
                  <w:sz w:val="18"/>
                </w:rPr>
                <w:t>1.1</w:t>
              </w:r>
            </w:p>
          </w:tc>
        </w:sdtContent>
      </w:sdt>
      <w:tc>
        <w:tcPr>
          <w:tcW w:w="3866" w:type="dxa"/>
        </w:tcPr>
        <w:p w14:paraId="4560ECE2" w14:textId="77777777" w:rsidR="0037768A" w:rsidRPr="00456050" w:rsidRDefault="0037768A" w:rsidP="00D17C8D">
          <w:pPr>
            <w:pStyle w:val="BMSFooterText"/>
            <w:jc w:val="right"/>
            <w:rPr>
              <w:sz w:val="18"/>
            </w:rPr>
          </w:pPr>
          <w:r w:rsidRPr="00456050">
            <w:rPr>
              <w:sz w:val="18"/>
            </w:rPr>
            <w:t xml:space="preserve">A Balfour Beatty  </w:t>
          </w:r>
          <w:sdt>
            <w:sdtPr>
              <w:rPr>
                <w:sz w:val="18"/>
              </w:rPr>
              <w:alias w:val="Strategic Business Unit"/>
              <w:tag w:val="ac63671d70c441cdba18d820fb0dbe24"/>
              <w:id w:val="1473872862"/>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rPr>
                <w:t>UK</w:t>
              </w:r>
            </w:sdtContent>
          </w:sdt>
          <w:r>
            <w:rPr>
              <w:sz w:val="18"/>
            </w:rPr>
            <w:t xml:space="preserve"> </w:t>
          </w:r>
          <w:r w:rsidRPr="00456050">
            <w:rPr>
              <w:sz w:val="18"/>
            </w:rPr>
            <w:t>Document</w:t>
          </w:r>
        </w:p>
      </w:tc>
    </w:tr>
  </w:tbl>
  <w:p w14:paraId="4560ECE4" w14:textId="77777777" w:rsidR="0037768A" w:rsidRPr="00232A84" w:rsidRDefault="0037768A"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0ECCF" w14:textId="77777777" w:rsidR="00EE6CC1" w:rsidRDefault="00EE6CC1" w:rsidP="0003527C">
      <w:pPr>
        <w:spacing w:after="0" w:line="240" w:lineRule="auto"/>
      </w:pPr>
      <w:r>
        <w:separator/>
      </w:r>
    </w:p>
  </w:footnote>
  <w:footnote w:type="continuationSeparator" w:id="0">
    <w:p w14:paraId="4560ECD0" w14:textId="77777777" w:rsidR="00EE6CC1" w:rsidRDefault="00EE6CC1"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0ECD3" w14:textId="77777777" w:rsidR="0037768A" w:rsidRDefault="00C92EED">
    <w:pPr>
      <w:pStyle w:val="Header"/>
    </w:pPr>
    <w:r>
      <w:rPr>
        <w:noProof/>
        <w:lang w:eastAsia="en-GB"/>
      </w:rPr>
      <w:pict w14:anchorId="4560EC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170358" w14:paraId="74F76287" w14:textId="77777777" w:rsidTr="00B26F38">
      <w:trPr>
        <w:cantSplit/>
        <w:trHeight w:hRule="exact" w:val="1077"/>
      </w:trPr>
      <w:tc>
        <w:tcPr>
          <w:tcW w:w="2977" w:type="dxa"/>
        </w:tcPr>
        <w:p w14:paraId="16358A0F" w14:textId="77777777" w:rsidR="00170358" w:rsidRDefault="00170358" w:rsidP="00B26F38">
          <w:r>
            <w:rPr>
              <w:noProof/>
              <w:lang w:eastAsia="en-GB"/>
            </w:rPr>
            <w:drawing>
              <wp:anchor distT="0" distB="0" distL="114300" distR="114300" simplePos="0" relativeHeight="251663360" behindDoc="0" locked="0" layoutInCell="1" allowOverlap="1" wp14:anchorId="518BC4E9" wp14:editId="7A0DFFD3">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5CE614173F7648CF87802E5A00CC0932"/>
            </w:placeholder>
            <w:dataBinding w:prefixMappings="xmlns:ns0='http://purl.org/dc/elements/1.1/' xmlns:ns1='http://schemas.openxmlformats.org/package/2006/metadata/core-properties' " w:xpath="/ns1:coreProperties[1]/ns0:title[1]" w:storeItemID="{6C3C8BC8-F283-45AE-878A-BAB7291924A1}"/>
            <w:text/>
          </w:sdtPr>
          <w:sdtEndPr/>
          <w:sdtContent>
            <w:p w14:paraId="1EFE0C50" w14:textId="22CCDB37" w:rsidR="00170358" w:rsidRDefault="00170358" w:rsidP="00B26F38">
              <w:pPr>
                <w:pStyle w:val="BMSTitleinHeader"/>
                <w:rPr>
                  <w:kern w:val="0"/>
                  <w:szCs w:val="28"/>
                </w:rPr>
              </w:pPr>
              <w:r>
                <w:rPr>
                  <w:kern w:val="0"/>
                  <w:szCs w:val="28"/>
                </w:rPr>
                <w:t>Storage of Fuels, Oils and Liquids</w:t>
              </w:r>
            </w:p>
          </w:sdtContent>
        </w:sdt>
        <w:p w14:paraId="132B08A5" w14:textId="1557526E" w:rsidR="00170358" w:rsidRDefault="00C92EED" w:rsidP="00B26F38">
          <w:pPr>
            <w:pStyle w:val="BMSTitleinHeader"/>
          </w:pPr>
          <w:sdt>
            <w:sdtPr>
              <w:rPr>
                <w:kern w:val="0"/>
                <w:szCs w:val="28"/>
              </w:rPr>
              <w:alias w:val="Document Type"/>
              <w:tag w:val="oc3d3a3ff14440768ba3133f25344e09"/>
              <w:id w:val="403650787"/>
              <w:lock w:val="contentLocked"/>
              <w:placeholder>
                <w:docPart w:val="73E6616C6BB841D69ABDBA8C409A7EC9"/>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170358">
                <w:rPr>
                  <w:kern w:val="0"/>
                  <w:szCs w:val="28"/>
                </w:rPr>
                <w:t>Reference Material</w:t>
              </w:r>
            </w:sdtContent>
          </w:sdt>
          <w:r w:rsidR="00170358">
            <w:rPr>
              <w:kern w:val="0"/>
              <w:szCs w:val="28"/>
            </w:rPr>
            <w:t xml:space="preserve">: </w:t>
          </w:r>
          <w:sdt>
            <w:sdtPr>
              <w:rPr>
                <w:kern w:val="0"/>
                <w:szCs w:val="28"/>
              </w:rPr>
              <w:alias w:val="Document Reference"/>
              <w:tag w:val="Document_x0020_Reference"/>
              <w:id w:val="-842934057"/>
              <w:placeholder>
                <w:docPart w:val="419E3C644CD04178A818CED271341386"/>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170358">
                <w:rPr>
                  <w:kern w:val="0"/>
                  <w:szCs w:val="28"/>
                </w:rPr>
                <w:t>ENV-RM-0007a</w:t>
              </w:r>
            </w:sdtContent>
          </w:sdt>
        </w:p>
      </w:tc>
    </w:tr>
  </w:tbl>
  <w:p w14:paraId="4560ECD8" w14:textId="77777777" w:rsidR="0037768A" w:rsidRPr="00FD6CC3" w:rsidRDefault="0037768A"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0ECE5" w14:textId="77777777" w:rsidR="0037768A" w:rsidRDefault="00C92EED">
    <w:pPr>
      <w:pStyle w:val="Header"/>
    </w:pPr>
    <w:r>
      <w:rPr>
        <w:noProof/>
        <w:lang w:eastAsia="en-GB"/>
      </w:rPr>
      <w:pict w14:anchorId="4560EC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E385E"/>
    <w:multiLevelType w:val="hybridMultilevel"/>
    <w:tmpl w:val="9B34B66E"/>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74277FD"/>
    <w:multiLevelType w:val="hybridMultilevel"/>
    <w:tmpl w:val="EEFCCE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E91154"/>
    <w:multiLevelType w:val="hybridMultilevel"/>
    <w:tmpl w:val="D2222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E36AA4"/>
    <w:multiLevelType w:val="hybridMultilevel"/>
    <w:tmpl w:val="30E8ACD4"/>
    <w:lvl w:ilvl="0" w:tplc="6BEA7634">
      <w:numFmt w:val="bullet"/>
      <w:lvlText w:val="-"/>
      <w:lvlJc w:val="left"/>
      <w:pPr>
        <w:ind w:left="420" w:hanging="360"/>
      </w:pPr>
      <w:rPr>
        <w:rFonts w:ascii="Arial" w:eastAsiaTheme="minorEastAsia" w:hAnsi="Arial" w:cs="Arial" w:hint="default"/>
      </w:rPr>
    </w:lvl>
    <w:lvl w:ilvl="1" w:tplc="08090003">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4" w15:restartNumberingAfterBreak="0">
    <w:nsid w:val="2BDD7439"/>
    <w:multiLevelType w:val="hybridMultilevel"/>
    <w:tmpl w:val="F71EF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1C2AB7"/>
    <w:multiLevelType w:val="hybridMultilevel"/>
    <w:tmpl w:val="D2B854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9A6323"/>
    <w:multiLevelType w:val="hybridMultilevel"/>
    <w:tmpl w:val="EA10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D81305"/>
    <w:multiLevelType w:val="hybridMultilevel"/>
    <w:tmpl w:val="98325A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3444CE7"/>
    <w:multiLevelType w:val="hybridMultilevel"/>
    <w:tmpl w:val="13086D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3C79F7"/>
    <w:multiLevelType w:val="hybridMultilevel"/>
    <w:tmpl w:val="AEC89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EF0B39"/>
    <w:multiLevelType w:val="hybridMultilevel"/>
    <w:tmpl w:val="994A1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315D52"/>
    <w:multiLevelType w:val="hybridMultilevel"/>
    <w:tmpl w:val="D2465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AF7667"/>
    <w:multiLevelType w:val="hybridMultilevel"/>
    <w:tmpl w:val="37506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E377D9"/>
    <w:multiLevelType w:val="hybridMultilevel"/>
    <w:tmpl w:val="03A4F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FC5313"/>
    <w:multiLevelType w:val="hybridMultilevel"/>
    <w:tmpl w:val="731EA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2B54AC"/>
    <w:multiLevelType w:val="hybridMultilevel"/>
    <w:tmpl w:val="439AB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424DC9"/>
    <w:multiLevelType w:val="hybridMultilevel"/>
    <w:tmpl w:val="C928B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5"/>
  </w:num>
  <w:num w:numId="4">
    <w:abstractNumId w:val="1"/>
  </w:num>
  <w:num w:numId="5">
    <w:abstractNumId w:val="8"/>
  </w:num>
  <w:num w:numId="6">
    <w:abstractNumId w:val="16"/>
  </w:num>
  <w:num w:numId="7">
    <w:abstractNumId w:val="4"/>
  </w:num>
  <w:num w:numId="8">
    <w:abstractNumId w:val="13"/>
  </w:num>
  <w:num w:numId="9">
    <w:abstractNumId w:val="10"/>
  </w:num>
  <w:num w:numId="10">
    <w:abstractNumId w:val="12"/>
  </w:num>
  <w:num w:numId="11">
    <w:abstractNumId w:val="0"/>
  </w:num>
  <w:num w:numId="12">
    <w:abstractNumId w:val="11"/>
  </w:num>
  <w:num w:numId="13">
    <w:abstractNumId w:val="2"/>
  </w:num>
  <w:num w:numId="14">
    <w:abstractNumId w:val="6"/>
  </w:num>
  <w:num w:numId="15">
    <w:abstractNumId w:val="7"/>
  </w:num>
  <w:num w:numId="16">
    <w:abstractNumId w:val="9"/>
  </w:num>
  <w:num w:numId="17">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F80"/>
    <w:rsid w:val="0000143B"/>
    <w:rsid w:val="00013C8F"/>
    <w:rsid w:val="000334D9"/>
    <w:rsid w:val="00033630"/>
    <w:rsid w:val="000343A1"/>
    <w:rsid w:val="0003527C"/>
    <w:rsid w:val="00041A9C"/>
    <w:rsid w:val="000512D3"/>
    <w:rsid w:val="00057502"/>
    <w:rsid w:val="000704A5"/>
    <w:rsid w:val="0008194B"/>
    <w:rsid w:val="00091144"/>
    <w:rsid w:val="000923C8"/>
    <w:rsid w:val="00092E5D"/>
    <w:rsid w:val="000B4042"/>
    <w:rsid w:val="000C58F6"/>
    <w:rsid w:val="000C79E5"/>
    <w:rsid w:val="000D2C23"/>
    <w:rsid w:val="000D397D"/>
    <w:rsid w:val="000D40C3"/>
    <w:rsid w:val="000E2EA1"/>
    <w:rsid w:val="00100320"/>
    <w:rsid w:val="00103BEB"/>
    <w:rsid w:val="00104C50"/>
    <w:rsid w:val="00113A37"/>
    <w:rsid w:val="00115076"/>
    <w:rsid w:val="001228FD"/>
    <w:rsid w:val="001254BC"/>
    <w:rsid w:val="0013100F"/>
    <w:rsid w:val="00135284"/>
    <w:rsid w:val="00135E91"/>
    <w:rsid w:val="00136547"/>
    <w:rsid w:val="00136595"/>
    <w:rsid w:val="00141681"/>
    <w:rsid w:val="0014730B"/>
    <w:rsid w:val="001526F0"/>
    <w:rsid w:val="001609DB"/>
    <w:rsid w:val="00170358"/>
    <w:rsid w:val="00180C33"/>
    <w:rsid w:val="001821A4"/>
    <w:rsid w:val="00186D93"/>
    <w:rsid w:val="00190E4B"/>
    <w:rsid w:val="00194624"/>
    <w:rsid w:val="00194B36"/>
    <w:rsid w:val="001A67D7"/>
    <w:rsid w:val="001C5B25"/>
    <w:rsid w:val="001E4DDE"/>
    <w:rsid w:val="001F38BB"/>
    <w:rsid w:val="001F4527"/>
    <w:rsid w:val="001F6AC6"/>
    <w:rsid w:val="00205970"/>
    <w:rsid w:val="00205996"/>
    <w:rsid w:val="002129C2"/>
    <w:rsid w:val="00226E32"/>
    <w:rsid w:val="00226FEE"/>
    <w:rsid w:val="0023172C"/>
    <w:rsid w:val="00232A84"/>
    <w:rsid w:val="002356E1"/>
    <w:rsid w:val="00241AF7"/>
    <w:rsid w:val="002422FE"/>
    <w:rsid w:val="00244470"/>
    <w:rsid w:val="0025159B"/>
    <w:rsid w:val="002526E6"/>
    <w:rsid w:val="00263805"/>
    <w:rsid w:val="00270AD9"/>
    <w:rsid w:val="00275239"/>
    <w:rsid w:val="00280A28"/>
    <w:rsid w:val="00281322"/>
    <w:rsid w:val="002866CB"/>
    <w:rsid w:val="00287B09"/>
    <w:rsid w:val="00295642"/>
    <w:rsid w:val="002A0238"/>
    <w:rsid w:val="002A39B5"/>
    <w:rsid w:val="002C11CA"/>
    <w:rsid w:val="002D0D62"/>
    <w:rsid w:val="002D2398"/>
    <w:rsid w:val="002D2923"/>
    <w:rsid w:val="002F0E0D"/>
    <w:rsid w:val="002F51C4"/>
    <w:rsid w:val="00311ABC"/>
    <w:rsid w:val="00314987"/>
    <w:rsid w:val="00316B9C"/>
    <w:rsid w:val="00323906"/>
    <w:rsid w:val="00330B1C"/>
    <w:rsid w:val="00337EDE"/>
    <w:rsid w:val="00345DC4"/>
    <w:rsid w:val="003556E0"/>
    <w:rsid w:val="003603DF"/>
    <w:rsid w:val="0037518C"/>
    <w:rsid w:val="00375CAA"/>
    <w:rsid w:val="00375DA8"/>
    <w:rsid w:val="0037768A"/>
    <w:rsid w:val="003A01F8"/>
    <w:rsid w:val="003A0CF4"/>
    <w:rsid w:val="003B0548"/>
    <w:rsid w:val="003B1172"/>
    <w:rsid w:val="003B7A23"/>
    <w:rsid w:val="003D6E15"/>
    <w:rsid w:val="003F1F80"/>
    <w:rsid w:val="003F2EE6"/>
    <w:rsid w:val="00433874"/>
    <w:rsid w:val="004500D3"/>
    <w:rsid w:val="00452DC9"/>
    <w:rsid w:val="004543E7"/>
    <w:rsid w:val="00455A64"/>
    <w:rsid w:val="00456050"/>
    <w:rsid w:val="00471993"/>
    <w:rsid w:val="00472F16"/>
    <w:rsid w:val="00474506"/>
    <w:rsid w:val="00482FE1"/>
    <w:rsid w:val="004978D3"/>
    <w:rsid w:val="004D1EE6"/>
    <w:rsid w:val="004D4BBA"/>
    <w:rsid w:val="004D628A"/>
    <w:rsid w:val="0050157B"/>
    <w:rsid w:val="00504B5F"/>
    <w:rsid w:val="00506653"/>
    <w:rsid w:val="005067EB"/>
    <w:rsid w:val="00516934"/>
    <w:rsid w:val="005341DC"/>
    <w:rsid w:val="005524BF"/>
    <w:rsid w:val="00561E3E"/>
    <w:rsid w:val="00565C1E"/>
    <w:rsid w:val="00571C89"/>
    <w:rsid w:val="00574C30"/>
    <w:rsid w:val="005A2973"/>
    <w:rsid w:val="005A2E92"/>
    <w:rsid w:val="005C295E"/>
    <w:rsid w:val="005D32C0"/>
    <w:rsid w:val="005D35E0"/>
    <w:rsid w:val="005D403C"/>
    <w:rsid w:val="006020B4"/>
    <w:rsid w:val="00633C0A"/>
    <w:rsid w:val="0063600C"/>
    <w:rsid w:val="006505CF"/>
    <w:rsid w:val="00654707"/>
    <w:rsid w:val="006554EB"/>
    <w:rsid w:val="00655F1E"/>
    <w:rsid w:val="00656A37"/>
    <w:rsid w:val="00663381"/>
    <w:rsid w:val="00672ABB"/>
    <w:rsid w:val="00674038"/>
    <w:rsid w:val="00693A99"/>
    <w:rsid w:val="006943A6"/>
    <w:rsid w:val="00695B37"/>
    <w:rsid w:val="006966A2"/>
    <w:rsid w:val="006A0C2D"/>
    <w:rsid w:val="006A24AD"/>
    <w:rsid w:val="006A40B6"/>
    <w:rsid w:val="006B31AC"/>
    <w:rsid w:val="006D3E21"/>
    <w:rsid w:val="006D5255"/>
    <w:rsid w:val="006F1153"/>
    <w:rsid w:val="006F1B10"/>
    <w:rsid w:val="006F7398"/>
    <w:rsid w:val="00706427"/>
    <w:rsid w:val="00706CC9"/>
    <w:rsid w:val="0071068E"/>
    <w:rsid w:val="00714B5F"/>
    <w:rsid w:val="00726E3E"/>
    <w:rsid w:val="00730C08"/>
    <w:rsid w:val="00734F3E"/>
    <w:rsid w:val="007555B3"/>
    <w:rsid w:val="00767CB9"/>
    <w:rsid w:val="00770657"/>
    <w:rsid w:val="00771EC6"/>
    <w:rsid w:val="00786B37"/>
    <w:rsid w:val="007969A3"/>
    <w:rsid w:val="007A1490"/>
    <w:rsid w:val="007E0ED7"/>
    <w:rsid w:val="007E694D"/>
    <w:rsid w:val="007F1651"/>
    <w:rsid w:val="007F2E8D"/>
    <w:rsid w:val="007F4226"/>
    <w:rsid w:val="007F625B"/>
    <w:rsid w:val="00801D43"/>
    <w:rsid w:val="008028F6"/>
    <w:rsid w:val="008055CE"/>
    <w:rsid w:val="008074C9"/>
    <w:rsid w:val="00826DB1"/>
    <w:rsid w:val="00835A48"/>
    <w:rsid w:val="00846390"/>
    <w:rsid w:val="008472E4"/>
    <w:rsid w:val="00850FC9"/>
    <w:rsid w:val="00853F6E"/>
    <w:rsid w:val="00866E18"/>
    <w:rsid w:val="008719B5"/>
    <w:rsid w:val="00873C47"/>
    <w:rsid w:val="00877A62"/>
    <w:rsid w:val="008819A7"/>
    <w:rsid w:val="00886C6C"/>
    <w:rsid w:val="008906D7"/>
    <w:rsid w:val="008A421C"/>
    <w:rsid w:val="008A4897"/>
    <w:rsid w:val="008B04DE"/>
    <w:rsid w:val="008B75FC"/>
    <w:rsid w:val="008C16BC"/>
    <w:rsid w:val="008C1B21"/>
    <w:rsid w:val="008E44AF"/>
    <w:rsid w:val="008E6D8B"/>
    <w:rsid w:val="008F38FD"/>
    <w:rsid w:val="008F4A9E"/>
    <w:rsid w:val="00910BAE"/>
    <w:rsid w:val="00911930"/>
    <w:rsid w:val="0092057B"/>
    <w:rsid w:val="00925FB6"/>
    <w:rsid w:val="00933F4A"/>
    <w:rsid w:val="00941DAA"/>
    <w:rsid w:val="00942DF8"/>
    <w:rsid w:val="00946497"/>
    <w:rsid w:val="009745F8"/>
    <w:rsid w:val="00984A6B"/>
    <w:rsid w:val="00997388"/>
    <w:rsid w:val="009A4D7F"/>
    <w:rsid w:val="009A56FE"/>
    <w:rsid w:val="009A5868"/>
    <w:rsid w:val="009A6610"/>
    <w:rsid w:val="009B2DA8"/>
    <w:rsid w:val="009B5654"/>
    <w:rsid w:val="009C31A6"/>
    <w:rsid w:val="009D4ECD"/>
    <w:rsid w:val="009D63AB"/>
    <w:rsid w:val="009D774C"/>
    <w:rsid w:val="009D77DC"/>
    <w:rsid w:val="00A03236"/>
    <w:rsid w:val="00A13724"/>
    <w:rsid w:val="00A300CA"/>
    <w:rsid w:val="00A37D44"/>
    <w:rsid w:val="00A42DA8"/>
    <w:rsid w:val="00A56427"/>
    <w:rsid w:val="00A57B02"/>
    <w:rsid w:val="00A659E7"/>
    <w:rsid w:val="00A7570C"/>
    <w:rsid w:val="00A83CC5"/>
    <w:rsid w:val="00A86427"/>
    <w:rsid w:val="00A97363"/>
    <w:rsid w:val="00AD5BC0"/>
    <w:rsid w:val="00AD6050"/>
    <w:rsid w:val="00AF774E"/>
    <w:rsid w:val="00B057A1"/>
    <w:rsid w:val="00B2229A"/>
    <w:rsid w:val="00B25A19"/>
    <w:rsid w:val="00B341C5"/>
    <w:rsid w:val="00B43F6F"/>
    <w:rsid w:val="00B52D4A"/>
    <w:rsid w:val="00B73695"/>
    <w:rsid w:val="00B77B90"/>
    <w:rsid w:val="00B77D59"/>
    <w:rsid w:val="00B825E1"/>
    <w:rsid w:val="00B830DD"/>
    <w:rsid w:val="00BA040F"/>
    <w:rsid w:val="00BA5E8D"/>
    <w:rsid w:val="00BC36AC"/>
    <w:rsid w:val="00BD241A"/>
    <w:rsid w:val="00BD4310"/>
    <w:rsid w:val="00BD6376"/>
    <w:rsid w:val="00BF0E35"/>
    <w:rsid w:val="00C01E0C"/>
    <w:rsid w:val="00C05E42"/>
    <w:rsid w:val="00C14567"/>
    <w:rsid w:val="00C17D31"/>
    <w:rsid w:val="00C20694"/>
    <w:rsid w:val="00C217E5"/>
    <w:rsid w:val="00C23A6F"/>
    <w:rsid w:val="00C35284"/>
    <w:rsid w:val="00C37735"/>
    <w:rsid w:val="00C45466"/>
    <w:rsid w:val="00C46B93"/>
    <w:rsid w:val="00C52456"/>
    <w:rsid w:val="00C7274E"/>
    <w:rsid w:val="00C72BC6"/>
    <w:rsid w:val="00C80D63"/>
    <w:rsid w:val="00C86B17"/>
    <w:rsid w:val="00C90016"/>
    <w:rsid w:val="00C92EED"/>
    <w:rsid w:val="00C95F20"/>
    <w:rsid w:val="00CA008C"/>
    <w:rsid w:val="00CA0AB2"/>
    <w:rsid w:val="00CA10AF"/>
    <w:rsid w:val="00CB1616"/>
    <w:rsid w:val="00CB22B6"/>
    <w:rsid w:val="00CB4C42"/>
    <w:rsid w:val="00CC2838"/>
    <w:rsid w:val="00CD144C"/>
    <w:rsid w:val="00CD7B54"/>
    <w:rsid w:val="00CD7E13"/>
    <w:rsid w:val="00CE1BC0"/>
    <w:rsid w:val="00CF2006"/>
    <w:rsid w:val="00CF20B2"/>
    <w:rsid w:val="00CF5D2A"/>
    <w:rsid w:val="00D0696D"/>
    <w:rsid w:val="00D13D25"/>
    <w:rsid w:val="00D17C8D"/>
    <w:rsid w:val="00D366BF"/>
    <w:rsid w:val="00D4781A"/>
    <w:rsid w:val="00D534C3"/>
    <w:rsid w:val="00D565AF"/>
    <w:rsid w:val="00D708EB"/>
    <w:rsid w:val="00D74F92"/>
    <w:rsid w:val="00D82528"/>
    <w:rsid w:val="00D860EE"/>
    <w:rsid w:val="00D92266"/>
    <w:rsid w:val="00D94301"/>
    <w:rsid w:val="00DA249E"/>
    <w:rsid w:val="00DA6D51"/>
    <w:rsid w:val="00DB2AED"/>
    <w:rsid w:val="00DB6486"/>
    <w:rsid w:val="00DC0D8B"/>
    <w:rsid w:val="00DC1067"/>
    <w:rsid w:val="00DC13C7"/>
    <w:rsid w:val="00DD5FB9"/>
    <w:rsid w:val="00DE693B"/>
    <w:rsid w:val="00DE6D82"/>
    <w:rsid w:val="00DF50C6"/>
    <w:rsid w:val="00E0056B"/>
    <w:rsid w:val="00E04C44"/>
    <w:rsid w:val="00E05189"/>
    <w:rsid w:val="00E171D3"/>
    <w:rsid w:val="00E17A0E"/>
    <w:rsid w:val="00E2551F"/>
    <w:rsid w:val="00E42993"/>
    <w:rsid w:val="00E45476"/>
    <w:rsid w:val="00E636CA"/>
    <w:rsid w:val="00E815A5"/>
    <w:rsid w:val="00E82C29"/>
    <w:rsid w:val="00E84CB3"/>
    <w:rsid w:val="00E86E80"/>
    <w:rsid w:val="00E90BFF"/>
    <w:rsid w:val="00E97908"/>
    <w:rsid w:val="00E97C55"/>
    <w:rsid w:val="00EA373F"/>
    <w:rsid w:val="00EB2F6F"/>
    <w:rsid w:val="00EC4C30"/>
    <w:rsid w:val="00ED0A61"/>
    <w:rsid w:val="00ED0BC4"/>
    <w:rsid w:val="00ED72A4"/>
    <w:rsid w:val="00EE6CC1"/>
    <w:rsid w:val="00F00C9C"/>
    <w:rsid w:val="00F0174E"/>
    <w:rsid w:val="00F11000"/>
    <w:rsid w:val="00F1419A"/>
    <w:rsid w:val="00F151D9"/>
    <w:rsid w:val="00F154C4"/>
    <w:rsid w:val="00F26C10"/>
    <w:rsid w:val="00F27A47"/>
    <w:rsid w:val="00F3156E"/>
    <w:rsid w:val="00F425B6"/>
    <w:rsid w:val="00F547A9"/>
    <w:rsid w:val="00F616F5"/>
    <w:rsid w:val="00F64AE5"/>
    <w:rsid w:val="00F64BAD"/>
    <w:rsid w:val="00F70604"/>
    <w:rsid w:val="00F70D94"/>
    <w:rsid w:val="00FA55CD"/>
    <w:rsid w:val="00FA6C57"/>
    <w:rsid w:val="00FA7BD4"/>
    <w:rsid w:val="00FB0D1F"/>
    <w:rsid w:val="00FB745A"/>
    <w:rsid w:val="00FB7D24"/>
    <w:rsid w:val="00FC21EB"/>
    <w:rsid w:val="00FD6CC3"/>
    <w:rsid w:val="00FE292E"/>
    <w:rsid w:val="00FF0A2E"/>
    <w:rsid w:val="00FF1502"/>
    <w:rsid w:val="00FF75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560EB47"/>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56050"/>
    <w:rPr>
      <w:rFonts w:ascii="Arial" w:hAnsi="Arial"/>
      <w:lang w:val="en-GB"/>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6D3E21"/>
    <w:pPr>
      <w:spacing w:before="60" w:after="60" w:line="240" w:lineRule="auto"/>
      <w:jc w:val="both"/>
    </w:pPr>
    <w:rPr>
      <w:rFonts w:eastAsia="Times New Roman" w:cs="Times New Roman"/>
      <w:b/>
      <w:caps/>
      <w:lang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456050"/>
    <w:pPr>
      <w:spacing w:after="0" w:line="240" w:lineRule="auto"/>
      <w:jc w:val="right"/>
    </w:pPr>
    <w:rPr>
      <w:rFonts w:eastAsia="Times New Roman" w:cs="Times New Roman"/>
      <w:bCs/>
      <w:color w:val="000000"/>
      <w:kern w:val="28"/>
      <w:sz w:val="28"/>
      <w:szCs w:val="32"/>
      <w:lang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ListParagraph">
    <w:name w:val="List Paragraph"/>
    <w:basedOn w:val="Normal"/>
    <w:uiPriority w:val="34"/>
    <w:qFormat/>
    <w:rsid w:val="008055CE"/>
    <w:pPr>
      <w:ind w:left="720"/>
      <w:contextualSpacing/>
    </w:pPr>
    <w:rPr>
      <w:rFonts w:asciiTheme="minorHAnsi" w:eastAsiaTheme="minorHAnsi" w:hAnsiTheme="minorHAnsi"/>
      <w:lang w:eastAsia="en-US"/>
    </w:rPr>
  </w:style>
  <w:style w:type="paragraph" w:customStyle="1" w:styleId="Default">
    <w:name w:val="Default"/>
    <w:rsid w:val="00574C30"/>
    <w:pPr>
      <w:autoSpaceDE w:val="0"/>
      <w:autoSpaceDN w:val="0"/>
      <w:adjustRightInd w:val="0"/>
      <w:spacing w:after="0" w:line="240" w:lineRule="auto"/>
    </w:pPr>
    <w:rPr>
      <w:rFonts w:ascii="Arial" w:hAnsi="Arial" w:cs="Arial"/>
      <w:color w:val="000000"/>
      <w:sz w:val="24"/>
      <w:szCs w:val="24"/>
      <w:lang w:val="en-GB"/>
    </w:rPr>
  </w:style>
  <w:style w:type="paragraph" w:customStyle="1" w:styleId="BasicParagraph">
    <w:name w:val="[Basic Paragraph]"/>
    <w:basedOn w:val="Normal"/>
    <w:uiPriority w:val="99"/>
    <w:rsid w:val="00F26C10"/>
    <w:pPr>
      <w:autoSpaceDE w:val="0"/>
      <w:autoSpaceDN w:val="0"/>
      <w:adjustRightInd w:val="0"/>
      <w:spacing w:after="0" w:line="288" w:lineRule="auto"/>
      <w:textAlignment w:val="center"/>
    </w:pPr>
    <w:rPr>
      <w:rFonts w:ascii="Minion Pro" w:eastAsiaTheme="minorHAnsi" w:hAnsi="Minion Pro" w:cs="Minion Pro"/>
      <w:color w:val="000000"/>
      <w:sz w:val="24"/>
      <w:szCs w:val="24"/>
      <w:lang w:eastAsia="en-US"/>
    </w:rPr>
  </w:style>
  <w:style w:type="character" w:styleId="Hyperlink">
    <w:name w:val="Hyperlink"/>
    <w:basedOn w:val="DefaultParagraphFont"/>
    <w:uiPriority w:val="99"/>
    <w:unhideWhenUsed/>
    <w:rsid w:val="002356E1"/>
    <w:rPr>
      <w:color w:val="0000FF" w:themeColor="hyperlink"/>
      <w:u w:val="single"/>
    </w:rPr>
  </w:style>
  <w:style w:type="paragraph" w:styleId="NormalWeb">
    <w:name w:val="Normal (Web)"/>
    <w:basedOn w:val="Normal"/>
    <w:uiPriority w:val="99"/>
    <w:semiHidden/>
    <w:unhideWhenUsed/>
    <w:rsid w:val="004D1EE6"/>
    <w:pPr>
      <w:spacing w:before="225" w:after="0" w:line="384" w:lineRule="atLeast"/>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D1E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52135">
      <w:bodyDiv w:val="1"/>
      <w:marLeft w:val="0"/>
      <w:marRight w:val="0"/>
      <w:marTop w:val="0"/>
      <w:marBottom w:val="0"/>
      <w:divBdr>
        <w:top w:val="none" w:sz="0" w:space="0" w:color="auto"/>
        <w:left w:val="none" w:sz="0" w:space="0" w:color="auto"/>
        <w:bottom w:val="none" w:sz="0" w:space="0" w:color="auto"/>
        <w:right w:val="none" w:sz="0" w:space="0" w:color="auto"/>
      </w:divBdr>
    </w:div>
    <w:div w:id="288828430">
      <w:bodyDiv w:val="1"/>
      <w:marLeft w:val="0"/>
      <w:marRight w:val="0"/>
      <w:marTop w:val="0"/>
      <w:marBottom w:val="0"/>
      <w:divBdr>
        <w:top w:val="none" w:sz="0" w:space="0" w:color="auto"/>
        <w:left w:val="none" w:sz="0" w:space="0" w:color="auto"/>
        <w:bottom w:val="none" w:sz="0" w:space="0" w:color="auto"/>
        <w:right w:val="none" w:sz="0" w:space="0" w:color="auto"/>
      </w:divBdr>
    </w:div>
    <w:div w:id="726033276">
      <w:bodyDiv w:val="1"/>
      <w:marLeft w:val="0"/>
      <w:marRight w:val="0"/>
      <w:marTop w:val="0"/>
      <w:marBottom w:val="0"/>
      <w:divBdr>
        <w:top w:val="none" w:sz="0" w:space="0" w:color="auto"/>
        <w:left w:val="none" w:sz="0" w:space="0" w:color="auto"/>
        <w:bottom w:val="none" w:sz="0" w:space="0" w:color="auto"/>
        <w:right w:val="none" w:sz="0" w:space="0" w:color="auto"/>
      </w:divBdr>
      <w:divsChild>
        <w:div w:id="421922557">
          <w:marLeft w:val="0"/>
          <w:marRight w:val="0"/>
          <w:marTop w:val="0"/>
          <w:marBottom w:val="0"/>
          <w:divBdr>
            <w:top w:val="none" w:sz="0" w:space="0" w:color="auto"/>
            <w:left w:val="none" w:sz="0" w:space="0" w:color="auto"/>
            <w:bottom w:val="none" w:sz="0" w:space="0" w:color="auto"/>
            <w:right w:val="none" w:sz="0" w:space="0" w:color="auto"/>
          </w:divBdr>
          <w:divsChild>
            <w:div w:id="338391712">
              <w:marLeft w:val="0"/>
              <w:marRight w:val="0"/>
              <w:marTop w:val="0"/>
              <w:marBottom w:val="0"/>
              <w:divBdr>
                <w:top w:val="none" w:sz="0" w:space="0" w:color="auto"/>
                <w:left w:val="none" w:sz="0" w:space="0" w:color="auto"/>
                <w:bottom w:val="none" w:sz="0" w:space="0" w:color="auto"/>
                <w:right w:val="none" w:sz="0" w:space="0" w:color="auto"/>
              </w:divBdr>
              <w:divsChild>
                <w:div w:id="202985411">
                  <w:marLeft w:val="0"/>
                  <w:marRight w:val="0"/>
                  <w:marTop w:val="0"/>
                  <w:marBottom w:val="0"/>
                  <w:divBdr>
                    <w:top w:val="none" w:sz="0" w:space="0" w:color="auto"/>
                    <w:left w:val="none" w:sz="0" w:space="0" w:color="auto"/>
                    <w:bottom w:val="none" w:sz="0" w:space="0" w:color="auto"/>
                    <w:right w:val="none" w:sz="0" w:space="0" w:color="auto"/>
                  </w:divBdr>
                  <w:divsChild>
                    <w:div w:id="1539195115">
                      <w:marLeft w:val="0"/>
                      <w:marRight w:val="0"/>
                      <w:marTop w:val="0"/>
                      <w:marBottom w:val="0"/>
                      <w:divBdr>
                        <w:top w:val="none" w:sz="0" w:space="0" w:color="auto"/>
                        <w:left w:val="none" w:sz="0" w:space="0" w:color="auto"/>
                        <w:bottom w:val="none" w:sz="0" w:space="0" w:color="auto"/>
                        <w:right w:val="none" w:sz="0" w:space="0" w:color="auto"/>
                      </w:divBdr>
                      <w:divsChild>
                        <w:div w:id="1183394211">
                          <w:marLeft w:val="0"/>
                          <w:marRight w:val="0"/>
                          <w:marTop w:val="0"/>
                          <w:marBottom w:val="0"/>
                          <w:divBdr>
                            <w:top w:val="none" w:sz="0" w:space="0" w:color="auto"/>
                            <w:left w:val="none" w:sz="0" w:space="0" w:color="auto"/>
                            <w:bottom w:val="none" w:sz="0" w:space="0" w:color="auto"/>
                            <w:right w:val="none" w:sz="0" w:space="0" w:color="auto"/>
                          </w:divBdr>
                          <w:divsChild>
                            <w:div w:id="724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592851">
      <w:bodyDiv w:val="1"/>
      <w:marLeft w:val="0"/>
      <w:marRight w:val="0"/>
      <w:marTop w:val="0"/>
      <w:marBottom w:val="0"/>
      <w:divBdr>
        <w:top w:val="none" w:sz="0" w:space="0" w:color="auto"/>
        <w:left w:val="none" w:sz="0" w:space="0" w:color="auto"/>
        <w:bottom w:val="none" w:sz="0" w:space="0" w:color="auto"/>
        <w:right w:val="none" w:sz="0" w:space="0" w:color="auto"/>
      </w:divBdr>
      <w:divsChild>
        <w:div w:id="65340844">
          <w:marLeft w:val="0"/>
          <w:marRight w:val="0"/>
          <w:marTop w:val="0"/>
          <w:marBottom w:val="0"/>
          <w:divBdr>
            <w:top w:val="none" w:sz="0" w:space="0" w:color="auto"/>
            <w:left w:val="none" w:sz="0" w:space="0" w:color="auto"/>
            <w:bottom w:val="none" w:sz="0" w:space="0" w:color="auto"/>
            <w:right w:val="none" w:sz="0" w:space="0" w:color="auto"/>
          </w:divBdr>
          <w:divsChild>
            <w:div w:id="1478181099">
              <w:marLeft w:val="0"/>
              <w:marRight w:val="0"/>
              <w:marTop w:val="0"/>
              <w:marBottom w:val="0"/>
              <w:divBdr>
                <w:top w:val="none" w:sz="0" w:space="0" w:color="auto"/>
                <w:left w:val="none" w:sz="0" w:space="0" w:color="auto"/>
                <w:bottom w:val="none" w:sz="0" w:space="0" w:color="auto"/>
                <w:right w:val="none" w:sz="0" w:space="0" w:color="auto"/>
              </w:divBdr>
              <w:divsChild>
                <w:div w:id="1802796690">
                  <w:marLeft w:val="0"/>
                  <w:marRight w:val="0"/>
                  <w:marTop w:val="0"/>
                  <w:marBottom w:val="0"/>
                  <w:divBdr>
                    <w:top w:val="none" w:sz="0" w:space="0" w:color="auto"/>
                    <w:left w:val="none" w:sz="0" w:space="0" w:color="auto"/>
                    <w:bottom w:val="none" w:sz="0" w:space="0" w:color="auto"/>
                    <w:right w:val="none" w:sz="0" w:space="0" w:color="auto"/>
                  </w:divBdr>
                  <w:divsChild>
                    <w:div w:id="505291698">
                      <w:marLeft w:val="0"/>
                      <w:marRight w:val="0"/>
                      <w:marTop w:val="0"/>
                      <w:marBottom w:val="0"/>
                      <w:divBdr>
                        <w:top w:val="none" w:sz="0" w:space="0" w:color="auto"/>
                        <w:left w:val="none" w:sz="0" w:space="0" w:color="auto"/>
                        <w:bottom w:val="none" w:sz="0" w:space="0" w:color="auto"/>
                        <w:right w:val="none" w:sz="0" w:space="0" w:color="auto"/>
                      </w:divBdr>
                      <w:divsChild>
                        <w:div w:id="111243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587024">
      <w:bodyDiv w:val="1"/>
      <w:marLeft w:val="0"/>
      <w:marRight w:val="0"/>
      <w:marTop w:val="0"/>
      <w:marBottom w:val="0"/>
      <w:divBdr>
        <w:top w:val="none" w:sz="0" w:space="0" w:color="auto"/>
        <w:left w:val="none" w:sz="0" w:space="0" w:color="auto"/>
        <w:bottom w:val="none" w:sz="0" w:space="0" w:color="auto"/>
        <w:right w:val="none" w:sz="0" w:space="0" w:color="auto"/>
      </w:divBdr>
    </w:div>
    <w:div w:id="1353072882">
      <w:bodyDiv w:val="1"/>
      <w:marLeft w:val="0"/>
      <w:marRight w:val="0"/>
      <w:marTop w:val="0"/>
      <w:marBottom w:val="0"/>
      <w:divBdr>
        <w:top w:val="none" w:sz="0" w:space="0" w:color="auto"/>
        <w:left w:val="none" w:sz="0" w:space="0" w:color="auto"/>
        <w:bottom w:val="none" w:sz="0" w:space="0" w:color="auto"/>
        <w:right w:val="none" w:sz="0" w:space="0" w:color="auto"/>
      </w:divBdr>
    </w:div>
    <w:div w:id="1664235740">
      <w:bodyDiv w:val="1"/>
      <w:marLeft w:val="0"/>
      <w:marRight w:val="0"/>
      <w:marTop w:val="0"/>
      <w:marBottom w:val="0"/>
      <w:divBdr>
        <w:top w:val="none" w:sz="0" w:space="0" w:color="auto"/>
        <w:left w:val="none" w:sz="0" w:space="0" w:color="auto"/>
        <w:bottom w:val="none" w:sz="0" w:space="0" w:color="auto"/>
        <w:right w:val="none" w:sz="0" w:space="0" w:color="auto"/>
      </w:divBdr>
      <w:divsChild>
        <w:div w:id="1691031149">
          <w:marLeft w:val="0"/>
          <w:marRight w:val="0"/>
          <w:marTop w:val="0"/>
          <w:marBottom w:val="0"/>
          <w:divBdr>
            <w:top w:val="none" w:sz="0" w:space="0" w:color="auto"/>
            <w:left w:val="none" w:sz="0" w:space="0" w:color="auto"/>
            <w:bottom w:val="none" w:sz="0" w:space="0" w:color="auto"/>
            <w:right w:val="none" w:sz="0" w:space="0" w:color="auto"/>
          </w:divBdr>
          <w:divsChild>
            <w:div w:id="586036751">
              <w:marLeft w:val="0"/>
              <w:marRight w:val="0"/>
              <w:marTop w:val="0"/>
              <w:marBottom w:val="0"/>
              <w:divBdr>
                <w:top w:val="none" w:sz="0" w:space="0" w:color="auto"/>
                <w:left w:val="none" w:sz="0" w:space="0" w:color="auto"/>
                <w:bottom w:val="none" w:sz="0" w:space="0" w:color="auto"/>
                <w:right w:val="none" w:sz="0" w:space="0" w:color="auto"/>
              </w:divBdr>
              <w:divsChild>
                <w:div w:id="479227486">
                  <w:marLeft w:val="0"/>
                  <w:marRight w:val="0"/>
                  <w:marTop w:val="0"/>
                  <w:marBottom w:val="0"/>
                  <w:divBdr>
                    <w:top w:val="none" w:sz="0" w:space="0" w:color="auto"/>
                    <w:left w:val="none" w:sz="0" w:space="0" w:color="auto"/>
                    <w:bottom w:val="none" w:sz="0" w:space="0" w:color="auto"/>
                    <w:right w:val="none" w:sz="0" w:space="0" w:color="auto"/>
                  </w:divBdr>
                  <w:divsChild>
                    <w:div w:id="1169950174">
                      <w:marLeft w:val="0"/>
                      <w:marRight w:val="0"/>
                      <w:marTop w:val="0"/>
                      <w:marBottom w:val="0"/>
                      <w:divBdr>
                        <w:top w:val="none" w:sz="0" w:space="0" w:color="auto"/>
                        <w:left w:val="none" w:sz="0" w:space="0" w:color="auto"/>
                        <w:bottom w:val="none" w:sz="0" w:space="0" w:color="auto"/>
                        <w:right w:val="none" w:sz="0" w:space="0" w:color="auto"/>
                      </w:divBdr>
                      <w:divsChild>
                        <w:div w:id="1653945870">
                          <w:marLeft w:val="0"/>
                          <w:marRight w:val="0"/>
                          <w:marTop w:val="0"/>
                          <w:marBottom w:val="0"/>
                          <w:divBdr>
                            <w:top w:val="none" w:sz="0" w:space="0" w:color="auto"/>
                            <w:left w:val="none" w:sz="0" w:space="0" w:color="auto"/>
                            <w:bottom w:val="none" w:sz="0" w:space="0" w:color="auto"/>
                            <w:right w:val="none" w:sz="0" w:space="0" w:color="auto"/>
                          </w:divBdr>
                          <w:divsChild>
                            <w:div w:id="140583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43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1112" TargetMode="External"/><Relationship Id="rId18" Type="http://schemas.openxmlformats.org/officeDocument/2006/relationships/hyperlink" Target="https://home360.balfourbeatty.com/ghoreferencecentre/Group%20BMS/_layouts/DocIdRedir.aspx?ID=2KHUWT73P6SE-1572-8639" TargetMode="External"/><Relationship Id="rId26" Type="http://schemas.openxmlformats.org/officeDocument/2006/relationships/hyperlink" Target="https://home360.balfourbeatty.com/ghoreferencecentre/Group%20BMS/_layouts/DocIdRedir.aspx?ID=2KHUWT73P6SE-1585-495" TargetMode="External"/><Relationship Id="rId39" Type="http://schemas.openxmlformats.org/officeDocument/2006/relationships/hyperlink" Target="https://home360.balfourbeatty.com/ghoreferencecentre/Group%20BMS/_layouts/DocIdRedir.aspx?ID=2KHUWT73P6SE-1572-10478" TargetMode="External"/><Relationship Id="rId3" Type="http://schemas.openxmlformats.org/officeDocument/2006/relationships/customXml" Target="../customXml/item3.xml"/><Relationship Id="rId21" Type="http://schemas.openxmlformats.org/officeDocument/2006/relationships/hyperlink" Target="http://oilcare.org.uk/look-after-your-oil/gtkyot/" TargetMode="External"/><Relationship Id="rId34" Type="http://schemas.openxmlformats.org/officeDocument/2006/relationships/hyperlink" Target="https://home360.balfourbeatty.com/ghoreferencecentre/Group%20BMS/_layouts/DocIdRedir.aspx?ID=2KHUWT73P6SE-1572-7126" TargetMode="External"/><Relationship Id="rId42" Type="http://schemas.openxmlformats.org/officeDocument/2006/relationships/hyperlink" Target="https://home360.balfourbeatty.com/ghoreferencecentre/Group%20BMS/_layouts/DocIdRedir.aspx?ID=2KHUWT73P6SE-1572-8639" TargetMode="External"/><Relationship Id="rId47" Type="http://schemas.openxmlformats.org/officeDocument/2006/relationships/footer" Target="footer1.xml"/><Relationship Id="rId50"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www.sepa.org.uk/media/34761/car_a_practical_guide.pdf" TargetMode="External"/><Relationship Id="rId17" Type="http://schemas.openxmlformats.org/officeDocument/2006/relationships/hyperlink" Target="https://home360.balfourbeatty.com/ghoreferencecentre/Group%20BMS/_layouts/DocIdRedir.aspx?ID=2KHUWT73P6SE-1572-7127" TargetMode="External"/><Relationship Id="rId25" Type="http://schemas.openxmlformats.org/officeDocument/2006/relationships/hyperlink" Target="https://www.sepa.org.uk/regulations/water/pollution-control/scottish-oil-storage-regulations/" TargetMode="External"/><Relationship Id="rId33" Type="http://schemas.openxmlformats.org/officeDocument/2006/relationships/hyperlink" Target="http://www.buildingcontrol-ni.com/assets/pdf/TechnicalBookletL2012.pdf" TargetMode="External"/><Relationship Id="rId38" Type="http://schemas.openxmlformats.org/officeDocument/2006/relationships/hyperlink" Target="https://home360.balfourbeatty.com/ghoreferencecentre/Group%20BMS/_layouts/DocIdRedir.aspx?ID=2KHUWT73P6SE-1572-7131"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7130" TargetMode="External"/><Relationship Id="rId20" Type="http://schemas.openxmlformats.org/officeDocument/2006/relationships/hyperlink" Target="https://home360.balfourbeatty.com/ghoreferencecentre/Group%20BMS/_layouts/DocIdRedir.aspx?ID=2KHUWT73P6SE-1572-8757" TargetMode="External"/><Relationship Id="rId29" Type="http://schemas.openxmlformats.org/officeDocument/2006/relationships/hyperlink" Target="https://home360.balfourbeatty.com/ghoreferencecentre/Group%20BMS/_layouts/DocIdRedir.aspx?ID=2KHUWT73P6SE-1585-495" TargetMode="External"/><Relationship Id="rId41" Type="http://schemas.openxmlformats.org/officeDocument/2006/relationships/hyperlink" Target="https://home360.balfourbeatty.com/ghoreferencecentre/Group%20BMS/_layouts/DocIdRedir.aspx?ID=2KHUWT73P6SE-1572-8757"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gov.uk/government/publications/combustion-appliances-and-fuel-storage-systems-approved-document-j" TargetMode="External"/><Relationship Id="rId32" Type="http://schemas.openxmlformats.org/officeDocument/2006/relationships/hyperlink" Target="https://home360.balfourbeatty.com/ghoreferencecentre/Group%20BMS/_layouts/DocIdRedir.aspx?ID=2KHUWT73P6SE-1585-495" TargetMode="External"/><Relationship Id="rId37" Type="http://schemas.openxmlformats.org/officeDocument/2006/relationships/hyperlink" Target="https://home360.balfourbeatty.com/ghoreferencecentre/Group%20BMS/_layouts/DocIdRedir.aspx?ID=2KHUWT73P6SE-1572-7127" TargetMode="External"/><Relationship Id="rId40" Type="http://schemas.openxmlformats.org/officeDocument/2006/relationships/hyperlink" Target="https://home360.balfourbeatty.com/ghoreferencecentre/Group%20BMS/_layouts/DocIdRedir.aspx?ID=2KHUWT73P6SE-1572-8756" TargetMode="Externa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7129" TargetMode="External"/><Relationship Id="rId23" Type="http://schemas.openxmlformats.org/officeDocument/2006/relationships/hyperlink" Target="https://www.gov.uk/guidance/storing-oil-at-a-home-or-business" TargetMode="External"/><Relationship Id="rId28" Type="http://schemas.openxmlformats.org/officeDocument/2006/relationships/hyperlink" Target="https://home360.balfourbeatty.com/ghoreferencecentre/Group%20BMS/_layouts/DocIdRedir.aspx?ID=2KHUWT73P6SE-1585-501" TargetMode="External"/><Relationship Id="rId36" Type="http://schemas.openxmlformats.org/officeDocument/2006/relationships/hyperlink" Target="https://home360.balfourbeatty.com/ghoreferencecentre/Group%20BMS/_layouts/DocIdRedir.aspx?ID=2KHUWT73P6SE-1572-7130"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8756" TargetMode="External"/><Relationship Id="rId31" Type="http://schemas.openxmlformats.org/officeDocument/2006/relationships/hyperlink" Target="https://www.daera-ni.gov.uk/articles/oil-storage" TargetMode="External"/><Relationship Id="rId44" Type="http://schemas.openxmlformats.org/officeDocument/2006/relationships/hyperlink" Target="https://home360.balfourbeatty.com/ghoreferencecentre/Group%20BMS/_layouts/DocIdRedir.aspx?ID=2KHUWT73P6SE-1585-5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7786" TargetMode="External"/><Relationship Id="rId22" Type="http://schemas.openxmlformats.org/officeDocument/2006/relationships/hyperlink" Target="https://home360.balfourbeatty.com/ghoreferencecentre/Group%20BMS/_layouts/DocIdRedir.aspx?ID=2KHUWT73P6SE-1585-495" TargetMode="External"/><Relationship Id="rId27" Type="http://schemas.openxmlformats.org/officeDocument/2006/relationships/hyperlink" Target="http://www.gov.scot/Resource/0050/00501012.pdf" TargetMode="External"/><Relationship Id="rId30" Type="http://schemas.openxmlformats.org/officeDocument/2006/relationships/hyperlink" Target="https://www.gov.uk/government/publications/combustion-appliances-and-fuel-storage-systems-approved-document-j" TargetMode="External"/><Relationship Id="rId35" Type="http://schemas.openxmlformats.org/officeDocument/2006/relationships/hyperlink" Target="https://home360.balfourbeatty.com/ghoreferencecentre/Group%20BMS/_layouts/DocIdRedir.aspx?ID=2KHUWT73P6SE-1572-7129" TargetMode="External"/><Relationship Id="rId43" Type="http://schemas.openxmlformats.org/officeDocument/2006/relationships/hyperlink" Target="https://home360.balfourbeatty.com/ghoreferencecentre/Group%20BMS/_layouts/DocIdRedir.aspx?ID=2KHUWT73P6SE-1585-495" TargetMode="External"/><Relationship Id="rId48" Type="http://schemas.openxmlformats.org/officeDocument/2006/relationships/header" Target="header3.xml"/><Relationship Id="rId8" Type="http://schemas.openxmlformats.org/officeDocument/2006/relationships/settings" Target="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BBUK%20Standard%20Template%20(Word%20-%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E614173F7648CF87802E5A00CC0932"/>
        <w:category>
          <w:name w:val="General"/>
          <w:gallery w:val="placeholder"/>
        </w:category>
        <w:types>
          <w:type w:val="bbPlcHdr"/>
        </w:types>
        <w:behaviors>
          <w:behavior w:val="content"/>
        </w:behaviors>
        <w:guid w:val="{1BFED2D4-7385-4794-99D2-5AA6385CBC3D}"/>
      </w:docPartPr>
      <w:docPartBody>
        <w:p w:rsidR="00C23B34" w:rsidRDefault="00CE44E6" w:rsidP="00CE44E6">
          <w:pPr>
            <w:pStyle w:val="5CE614173F7648CF87802E5A00CC0932"/>
          </w:pPr>
          <w:r w:rsidRPr="004D3409">
            <w:rPr>
              <w:rStyle w:val="PlaceholderText"/>
            </w:rPr>
            <w:t>[Title]</w:t>
          </w:r>
        </w:p>
      </w:docPartBody>
    </w:docPart>
    <w:docPart>
      <w:docPartPr>
        <w:name w:val="73E6616C6BB841D69ABDBA8C409A7EC9"/>
        <w:category>
          <w:name w:val="General"/>
          <w:gallery w:val="placeholder"/>
        </w:category>
        <w:types>
          <w:type w:val="bbPlcHdr"/>
        </w:types>
        <w:behaviors>
          <w:behavior w:val="content"/>
        </w:behaviors>
        <w:guid w:val="{3EE47A0C-9DEC-4F5D-9453-BC209F7E547D}"/>
      </w:docPartPr>
      <w:docPartBody>
        <w:p w:rsidR="00C23B34" w:rsidRDefault="00CE44E6" w:rsidP="00CE44E6">
          <w:pPr>
            <w:pStyle w:val="73E6616C6BB841D69ABDBA8C409A7EC9"/>
          </w:pPr>
          <w:r w:rsidRPr="004D3409">
            <w:rPr>
              <w:rStyle w:val="PlaceholderText"/>
            </w:rPr>
            <w:t>[Document Type]</w:t>
          </w:r>
        </w:p>
      </w:docPartBody>
    </w:docPart>
    <w:docPart>
      <w:docPartPr>
        <w:name w:val="419E3C644CD04178A818CED271341386"/>
        <w:category>
          <w:name w:val="General"/>
          <w:gallery w:val="placeholder"/>
        </w:category>
        <w:types>
          <w:type w:val="bbPlcHdr"/>
        </w:types>
        <w:behaviors>
          <w:behavior w:val="content"/>
        </w:behaviors>
        <w:guid w:val="{68B297A6-0F82-49EA-8BC6-FFFDB5DCAE1C}"/>
      </w:docPartPr>
      <w:docPartBody>
        <w:p w:rsidR="00C23B34" w:rsidRDefault="00CE44E6" w:rsidP="00CE44E6">
          <w:pPr>
            <w:pStyle w:val="419E3C644CD04178A818CED271341386"/>
          </w:pPr>
          <w:r w:rsidRPr="004D3409">
            <w:rPr>
              <w:rStyle w:val="PlaceholderText"/>
            </w:rPr>
            <w:t>[Document Reference]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87E"/>
    <w:rsid w:val="001B5A99"/>
    <w:rsid w:val="0028487E"/>
    <w:rsid w:val="007B3CD4"/>
    <w:rsid w:val="009915D6"/>
    <w:rsid w:val="00C23B34"/>
    <w:rsid w:val="00CE44E6"/>
    <w:rsid w:val="00E00229"/>
    <w:rsid w:val="00E71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DF76C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487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44E6"/>
    <w:rPr>
      <w:color w:val="808080"/>
    </w:rPr>
  </w:style>
  <w:style w:type="paragraph" w:customStyle="1" w:styleId="8962F712C66645B19FF6DD7D03B37321">
    <w:name w:val="8962F712C66645B19FF6DD7D03B37321"/>
    <w:rsid w:val="00CE44E6"/>
  </w:style>
  <w:style w:type="paragraph" w:customStyle="1" w:styleId="8134032640D6435A93ACB27D373004A9">
    <w:name w:val="8134032640D6435A93ACB27D373004A9"/>
    <w:rsid w:val="00CE44E6"/>
  </w:style>
  <w:style w:type="paragraph" w:customStyle="1" w:styleId="5D59643411C5475EB4EB2A046C6DC511">
    <w:name w:val="5D59643411C5475EB4EB2A046C6DC511"/>
    <w:rsid w:val="00CE44E6"/>
  </w:style>
  <w:style w:type="paragraph" w:customStyle="1" w:styleId="5CE614173F7648CF87802E5A00CC0932">
    <w:name w:val="5CE614173F7648CF87802E5A00CC0932"/>
    <w:rsid w:val="00CE44E6"/>
  </w:style>
  <w:style w:type="paragraph" w:customStyle="1" w:styleId="73E6616C6BB841D69ABDBA8C409A7EC9">
    <w:name w:val="73E6616C6BB841D69ABDBA8C409A7EC9"/>
    <w:rsid w:val="00CE44E6"/>
  </w:style>
  <w:style w:type="paragraph" w:customStyle="1" w:styleId="419E3C644CD04178A818CED271341386">
    <w:name w:val="419E3C644CD04178A818CED271341386"/>
    <w:rsid w:val="00CE44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2KHUWT73P6SE-1572-7125</_dlc_DocId>
    <_dlc_DocIdUrl xmlns="1d6a0609-6bef-4a0c-9054-5891b37468d4">
      <Url>https://home360.balfourbeatty.com/ghoreferencecentre/Group%20BMS/_layouts/DocIdRedir.aspx?ID=2KHUWT73P6SE-1572-7125</Url>
      <Description>2KHUWT73P6SE-1572-7125</Description>
    </_dlc_DocIdUrl>
    <TaxCatchAll xmlns="f43499e9-2e86-4c70-a2e2-5b27c6b5ac63">
      <Value>2001</Value>
      <Value>2972</Value>
      <Value>2004</Value>
      <Value>2073</Value>
      <Value>2016</Value>
      <Value>2015</Value>
      <Value>2003</Value>
    </TaxCatchAll>
    <Issue_x0020_Date xmlns="860e6fe6-97cb-40b5-bc05-a76ba269d9a4">2018-10-09T23:00:00+00:00</Issue_x0020_Date>
    <Check_x0020_in_x0020_Comments xmlns="860e6fe6-97cb-40b5-bc05-a76ba269d9a4">08/10/2018 Keywords updated
10/10/2018 Clarification added on budning: 'When multiple small containers are being stored together, the secondary containment must have the capacity to contain at least 110% of the contents of the largest container.'  </Check_x0020_in_x0020_Comments>
    <Review_x0020_Date xmlns="860e6fe6-97cb-40b5-bc05-a76ba269d9a4">2021-10-09T23:00:00+00:00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ENV-RM-0007a</Document_x0020_Reference>
    <Doc_x0020_Authoriser xmlns="860e6fe6-97cb-40b5-bc05-a76ba269d9a4">
      <UserInfo>
        <DisplayName>Poul Wend Hansen</DisplayName>
        <AccountId>49129</AccountId>
        <AccountType/>
      </UserInfo>
    </Doc_x0020_Authoriser>
    <Published_x0020_Version_x0020_No_x002e_ xmlns="860e6fe6-97cb-40b5-bc05-a76ba269d9a4">1.1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Reference Material</TermName>
          <TermId xmlns="http://schemas.microsoft.com/office/infopath/2007/PartnerControls">4a6aaa9a-e3ed-4c78-b6ba-7c385b2e236b</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Environment</TermName>
          <TermId xmlns="http://schemas.microsoft.com/office/infopath/2007/PartnerControls">ea8bfc75-bb85-4d04-a2ff-5e1e02a50c0a</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
        <AccountId xsi:nil="true"/>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2.xml><?xml version="1.0" encoding="utf-8"?>
<ds:datastoreItem xmlns:ds="http://schemas.openxmlformats.org/officeDocument/2006/customXml" ds:itemID="{25AADE32-381F-4DE2-8709-0139A727BF5F}">
  <ds:schemaRefs>
    <ds:schemaRef ds:uri="http://schemas.microsoft.com/office/2006/metadata/properties"/>
    <ds:schemaRef ds:uri="f43499e9-2e86-4c70-a2e2-5b27c6b5ac63"/>
    <ds:schemaRef ds:uri="http://schemas.microsoft.com/office/infopath/2007/PartnerControls"/>
    <ds:schemaRef ds:uri="http://purl.org/dc/dcmitype/"/>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1d6a0609-6bef-4a0c-9054-5891b37468d4"/>
    <ds:schemaRef ds:uri="860e6fe6-97cb-40b5-bc05-a76ba269d9a4"/>
  </ds:schemaRefs>
</ds:datastoreItem>
</file>

<file path=customXml/itemProps3.xml><?xml version="1.0" encoding="utf-8"?>
<ds:datastoreItem xmlns:ds="http://schemas.openxmlformats.org/officeDocument/2006/customXml" ds:itemID="{C7C93E96-9B38-4970-9419-A2BCC18F3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BA6884EA-CE5E-452C-8276-2FA0FF71E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BBUK Standard Template (Word - Portrait)</Template>
  <TotalTime>1</TotalTime>
  <Pages>11</Pages>
  <Words>4425</Words>
  <Characters>25228</Characters>
  <Application>Microsoft Office Word</Application>
  <DocSecurity>4</DocSecurity>
  <Lines>210</Lines>
  <Paragraphs>59</Paragraphs>
  <ScaleCrop>false</ScaleCrop>
  <HeadingPairs>
    <vt:vector size="2" baseType="variant">
      <vt:variant>
        <vt:lpstr>Title</vt:lpstr>
      </vt:variant>
      <vt:variant>
        <vt:i4>1</vt:i4>
      </vt:variant>
    </vt:vector>
  </HeadingPairs>
  <TitlesOfParts>
    <vt:vector size="1" baseType="lpstr">
      <vt:lpstr>Storage of Fuels, Oils and Liquids</vt:lpstr>
    </vt:vector>
  </TitlesOfParts>
  <Company>Balfour Beatty</Company>
  <LinksUpToDate>false</LinksUpToDate>
  <CharactersWithSpaces>29594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Storage of Fuels, Oils and Liquids</dc:title>
  <dc:creator>Gordon Sharon</dc:creator>
  <cp:keywords>ENV-RM-0007a; ENV-PR-0007; Pollution Prevention; HPC doc; HPCHW</cp:keywords>
  <cp:lastModifiedBy>Bull, Alison</cp:lastModifiedBy>
  <cp:revision>2</cp:revision>
  <cp:lastPrinted>2017-04-10T13:21:00Z</cp:lastPrinted>
  <dcterms:created xsi:type="dcterms:W3CDTF">2019-10-29T08:37:00Z</dcterms:created>
  <dcterms:modified xsi:type="dcterms:W3CDTF">2019-10-29T08:37:00Z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0a6fc315-0070-428f-94a4-020080213b71</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2016;#Reference Material|4a6aaa9a-e3ed-4c78-b6ba-7c385b2e236b</vt:lpwstr>
  </property>
  <property fmtid="{D5CDD505-2E9C-101B-9397-08002B2CF9AE}" pid="20" name="Function">
    <vt:lpwstr>2073;#Environment|ea8bfc75-bb85-4d04-a2ff-5e1e02a50c0a</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Policy Level">
    <vt:lpwstr/>
  </property>
</Properties>
</file>