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ADA" w14:textId="6954CFFF" w:rsidR="00BD2510" w:rsidRDefault="00BD2510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567C4C8" w14:textId="77777777" w:rsidR="000977BE" w:rsidRPr="000977BE" w:rsidRDefault="000977BE" w:rsidP="000977BE">
      <w:pPr>
        <w:ind w:left="90" w:right="90"/>
        <w:rPr>
          <w:rFonts w:ascii="Arial" w:hAnsi="Arial" w:cs="Arial"/>
          <w:sz w:val="20"/>
        </w:rPr>
      </w:pPr>
      <w:r w:rsidRPr="000977BE">
        <w:rPr>
          <w:rFonts w:ascii="Arial" w:hAnsi="Arial" w:cs="Arial"/>
          <w:sz w:val="20"/>
        </w:rPr>
        <w:t>Mr A Hammond</w:t>
      </w:r>
    </w:p>
    <w:p w14:paraId="38F50A51" w14:textId="77777777" w:rsidR="000977BE" w:rsidRPr="000977BE" w:rsidRDefault="000977BE" w:rsidP="000977BE">
      <w:pPr>
        <w:ind w:left="90" w:right="90"/>
        <w:rPr>
          <w:rFonts w:ascii="Arial" w:hAnsi="Arial" w:cs="Arial"/>
          <w:sz w:val="20"/>
        </w:rPr>
      </w:pPr>
      <w:r w:rsidRPr="000977BE">
        <w:rPr>
          <w:rFonts w:ascii="Arial" w:hAnsi="Arial" w:cs="Arial"/>
          <w:sz w:val="20"/>
        </w:rPr>
        <w:t>20 Stretton Crescent</w:t>
      </w:r>
    </w:p>
    <w:p w14:paraId="2B99A137" w14:textId="77777777" w:rsidR="000977BE" w:rsidRPr="000977BE" w:rsidRDefault="000977BE" w:rsidP="000977BE">
      <w:pPr>
        <w:ind w:left="90" w:right="90"/>
        <w:rPr>
          <w:rFonts w:ascii="Arial" w:hAnsi="Arial" w:cs="Arial"/>
          <w:sz w:val="20"/>
        </w:rPr>
      </w:pPr>
      <w:proofErr w:type="spellStart"/>
      <w:r w:rsidRPr="000977BE">
        <w:rPr>
          <w:rFonts w:ascii="Arial" w:hAnsi="Arial" w:cs="Arial"/>
          <w:sz w:val="20"/>
        </w:rPr>
        <w:t>Whitnash</w:t>
      </w:r>
      <w:proofErr w:type="spellEnd"/>
    </w:p>
    <w:p w14:paraId="3FCA8203" w14:textId="77777777" w:rsidR="000977BE" w:rsidRPr="000977BE" w:rsidRDefault="000977BE" w:rsidP="000977BE">
      <w:pPr>
        <w:ind w:left="90" w:right="90"/>
        <w:rPr>
          <w:rFonts w:ascii="Arial" w:hAnsi="Arial" w:cs="Arial"/>
          <w:sz w:val="20"/>
        </w:rPr>
      </w:pPr>
      <w:r w:rsidRPr="000977BE">
        <w:rPr>
          <w:rFonts w:ascii="Arial" w:hAnsi="Arial" w:cs="Arial"/>
          <w:sz w:val="20"/>
        </w:rPr>
        <w:t>Leamington Spa</w:t>
      </w:r>
    </w:p>
    <w:p w14:paraId="56EA8E6C" w14:textId="77777777" w:rsidR="000977BE" w:rsidRPr="000977BE" w:rsidRDefault="000977BE" w:rsidP="000977BE">
      <w:pPr>
        <w:ind w:left="90" w:right="90"/>
        <w:rPr>
          <w:rFonts w:ascii="Arial" w:hAnsi="Arial" w:cs="Arial"/>
          <w:sz w:val="20"/>
        </w:rPr>
      </w:pPr>
      <w:r w:rsidRPr="000977BE">
        <w:rPr>
          <w:rFonts w:ascii="Arial" w:hAnsi="Arial" w:cs="Arial"/>
          <w:sz w:val="20"/>
        </w:rPr>
        <w:t>Warwickshire CV312PH</w:t>
      </w:r>
    </w:p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5B11400" w14:textId="5B2CE765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0977BE">
        <w:rPr>
          <w:rFonts w:ascii="Arial" w:hAnsi="Arial" w:cs="Arial"/>
          <w:sz w:val="20"/>
        </w:rPr>
        <w:tab/>
      </w:r>
      <w:r w:rsidRPr="000977BE">
        <w:rPr>
          <w:rFonts w:ascii="Arial" w:hAnsi="Arial" w:cs="Arial"/>
          <w:sz w:val="20"/>
        </w:rPr>
        <w:tab/>
      </w:r>
      <w:r w:rsidRPr="000977B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42D81BF6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0977BE">
        <w:rPr>
          <w:rFonts w:ascii="Arial" w:hAnsi="Arial" w:cs="Arial"/>
          <w:bCs/>
          <w:sz w:val="20"/>
        </w:rPr>
        <w:t>Arron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2295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2024-10-28T15:38:00Z</dcterms:created>
  <dcterms:modified xsi:type="dcterms:W3CDTF">2024-10-28T15:38:00Z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